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rPr>
          <w:lang w:val="es-ES_tradnl"/>
        </w:rPr>
      </w:pPr>
      <w:r>
        <w:rPr>
          <w:rFonts w:cs="Noto Sans" w:ascii="Noto Sans" w:hAnsi="Noto Sans"/>
          <w:b/>
          <w:bCs/>
          <w:iCs/>
          <w:sz w:val="22"/>
          <w:szCs w:val="22"/>
          <w:lang w:val="es-ES_tradnl"/>
        </w:rPr>
        <w:t xml:space="preserve">Proyecto de decreto por el que se regulan </w:t>
      </w:r>
      <w:r>
        <w:rPr>
          <w:rFonts w:cs="Noto Sans" w:ascii="Noto Sans" w:hAnsi="Noto Sans"/>
          <w:b/>
          <w:sz w:val="22"/>
          <w:szCs w:val="22"/>
          <w:lang w:val="es-ES_tradnl"/>
        </w:rPr>
        <w:t>los informes de evaluación de edificios y su Registro</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b/>
          <w:bCs/>
          <w:iCs/>
          <w:sz w:val="22"/>
          <w:szCs w:val="22"/>
          <w:lang w:val="es-ES_tradnl"/>
        </w:rPr>
        <w:t>PREÁMBULO</w:t>
      </w:r>
    </w:p>
    <w:p>
      <w:pPr>
        <w:pStyle w:val="Normal"/>
        <w:spacing w:before="0" w:after="0"/>
        <w:contextualSpacing/>
        <w:rPr>
          <w:rFonts w:ascii="Noto Sans" w:hAnsi="Noto Sans" w:cs="Noto Sans"/>
          <w:b/>
          <w:b/>
          <w:bCs/>
          <w:iCs/>
          <w:sz w:val="22"/>
          <w:szCs w:val="22"/>
          <w:lang w:val="es-ES_tradnl"/>
        </w:rPr>
      </w:pPr>
      <w:r>
        <w:rPr>
          <w:rFonts w:cs="Noto Sans" w:ascii="Noto Sans" w:hAnsi="Noto Sans"/>
          <w:b/>
          <w:bCs/>
          <w:iC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El Estatuto de Autonomía de las Illes Balears, aprobado por la Ley Orgánica 1/2007, de 28 de febrero, establece en su artículo 30.3 que corresponde a la comunidad autónoma de las Illes Balears la competencia exclusiva en materia de ordenación del territorio, que incluye el litoral, el urbanismo y la vivienda. El artículo 58 de esta Ley establece que el Gobierno tiene la potestad reglamentaria en sus competencias.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En el ámbito estatal, el Real Decreto Legislativo 7/2015, de 30 de octubre, por el que se aprueba el texto refundido de la Ley de Suelo y Rehabilitación Urbana, ya establecía la posibilidad de que los propietarios de inmuebles situados en edificios de tipología residencial colectiva pudieran ser requeridos por la Administración para acreditar la situación en la que se encuentran los edificios en relación con su estado de conservación y el cumplimiento de la normativa vigente sobre la accesibilidad universal así como sobre el grado de eficiencia energética.</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Y en el autonómico, la derogada Ley 2/2014, de 25 de marzo, de Ordenación y Uso del Suelo, ya establecía la obligación de someter las construcciones y edificaciones a inspecciones periódicas y a presentar el informe de evaluación de edificios, previsto en la Ley 8/2013, de 26 de junio, de rehabilitación, regeneración y renovación urbanas.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Así mismo, de acuerdo con la disposición adicional décima de esta Ley, que ordenaba la creación del registro de informes de evaluación de edificios, se aprobó el Decreto 17/2016, de 8 de abril, por el que se crea y regula el Registro de informes de evaluación de edificios de las Illes Balears.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Uno de los objetivos de este Decreto fue establecer un contenido unificado del informe de evaluación de edificios en todo el ámbito de la comunidad autónoma mediante una remisión normativa al modelo de informe previsto en el anexo 2 del Real Decreto 233/2013, de 5 de abril, por el que se regula el Plan Estatal de Fomento del Alquiler, la Rehabilitación Edificatoria, y la Regeneración y Renovación Urbanas, 2013-2016.</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La Ley 2/2014 ha sido derogada por la vigente Ley 12/2017, de 29 de diciembre, de urbanismo de las Illes Balears. Esta Ley amplía a todas las edificaciones, independientemente de su uso, la necesidad de presentar un informe de evaluación de edificios que acredite la evaluación del estado de conservación, la evaluación de las condiciones básicas de accesibilidad universal y no discriminación de las personas con discapacidad para su acceso y utilización, y la certificación de la eficiencia energética de las mismas.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El artículo 125 de la Ley 12/2017 establece que las personas propietarias, físicas y jurídicas, o las comunidades de propietarios de edificaciones que tengan una antigüedad superior a treinta años, en el caso de la evaluación del estado de conservación, o cincuenta años, en el resto de casos, tienen que presentar, con una periodicidad de diez años, el informe de evaluación de edificios.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La disposición final primera de la mencionada Ley autoriza al Gobierno de las Illes Balears a desarrollar reglamentariamente la regulación relativa a la evaluación de los edificios.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En la esfera municipal y entre sus competencias, algunos ayuntamientos han aprobado ordenanzas reguladoras del informe de evaluación de edificios con diferentes contenidos, lo que también puede provocar cierta inseguridad a los ciudadanos y a los técnicos competentes respecto al contenido y efectos del informe.</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Este Decreto nace, por un lado, para dar cumplimiento a lo establecido en la disposición final primera de la Ley 12/2017 y, por otro, para unificar criterios para todo el ámbito de las Illes Balears en cuanto al contenido y los aspectos esenciales del informe de evaluación de edificios.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Del mismo modo, este Decreto introduce una serie de novedades y simplifica los procedimientos para la inscripción de los informes de evaluación en el Registro. Por este motivo, se considera adecuado unificar en este Decreto todos los aspectos relativos a los informes de evaluación de edificios.</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El artículo 129 de la Ley 39/2015, de 1 de octubre, del Procedimiento Administrativo Común de las Administraciones Públicas, establece que en el ejercicio de la potestad reglamentaria las administraciones públicas actuarán de acuerdo con los principios de necesidad, eficacia, proporcionalidad, seguridad jurídica, transparencia y eficiencia.</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Respecto al principio de necesidad, la iniciativa normativa queda justificada dado que deriva, por una parte, del mandato legal que establece la Ley 12/2017; y, por otra, de la necesidad de unificar criterios respecto de los contenidos y efectos del informe de evaluación de edificios.</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Este Decreto respeta el principio de eficacia dado que se considera el instrumento idóneo para garantizar las finalidades perseguidas.</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Respecto al principio de proporcionalidad, este Decreto contiene la regulación imprescindible para atender las necesidades que se deben cubrir con la norma.</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El principio de seguridad jurídica queda garantizado dado que la iniciativa normativa se ejerce de forma coherente con el resto del ordenamiento jurídico.</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Standard"/>
        <w:rPr>
          <w:lang w:val="es-ES_tradnl"/>
        </w:rPr>
      </w:pPr>
      <w:r>
        <w:rPr>
          <w:rFonts w:cs="Noto Sans" w:ascii="Noto Sans" w:hAnsi="Noto Sans"/>
          <w:sz w:val="22"/>
          <w:szCs w:val="22"/>
          <w:lang w:val="es-ES_tradnl"/>
        </w:rPr>
        <w:t>En aplicación del principio de transparencia, se ha llevado a cabo el trámite de consulta previa a la ciudadanía mediante la página web de Participación Ciudadana y el trámite de audiencia e información pública por un amplio periodo, para posibilitar así la participación de los ciudadanos desde un primer momento.</w:t>
      </w:r>
    </w:p>
    <w:p>
      <w:pPr>
        <w:pStyle w:val="Standard"/>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Y, finalmente, se cumple el principio de eficiencia puesto que evita cargas administrativas innecesarias o accesorias y racionaliza la gestión de los recursos públicos en su aplicación.</w:t>
      </w:r>
    </w:p>
    <w:p>
      <w:pPr>
        <w:pStyle w:val="Normal"/>
        <w:spacing w:before="0" w:after="0"/>
        <w:contextualSpacing/>
        <w:rPr>
          <w:rFonts w:ascii="Noto Sans" w:hAnsi="Noto Sans" w:cs="Noto Sans"/>
          <w:sz w:val="22"/>
          <w:szCs w:val="22"/>
          <w:lang w:val="es-ES_tradnl"/>
        </w:rPr>
      </w:pPr>
      <w:r>
        <w:rPr>
          <w:rFonts w:cs="Noto Sans" w:ascii="Noto Sans" w:hAnsi="Noto Sans"/>
          <w:sz w:val="22"/>
          <w:szCs w:val="22"/>
          <w:lang w:val="es-ES_tradnl"/>
        </w:rPr>
      </w:r>
    </w:p>
    <w:p>
      <w:pPr>
        <w:pStyle w:val="Normal"/>
        <w:spacing w:before="0" w:after="0"/>
        <w:contextualSpacing/>
        <w:rPr>
          <w:lang w:val="es-ES_tradnl"/>
        </w:rPr>
      </w:pPr>
      <w:r>
        <w:rPr>
          <w:rFonts w:cs="Noto Sans" w:ascii="Noto Sans" w:hAnsi="Noto Sans"/>
          <w:sz w:val="22"/>
          <w:szCs w:val="22"/>
          <w:lang w:val="es-ES_tradnl"/>
        </w:rPr>
        <w:t>Así pues, con el fin de dar cumplimiento al mandato establecido por la Ley 12/2017, de 29 de diciembre, de urbanismo de las Illes Balears, a propuesta del consejero de Movilidad y Vivienda, consultado el Consejo Económico y Social, de acuerdo con el Consejo Consultivo de las Illes Balears, y habiéndolo considerado el Consejo de Gobierno en la sesión de XX d XX de 2020, dicto el siguiente</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b/>
          <w:sz w:val="22"/>
          <w:szCs w:val="22"/>
          <w:lang w:val="es-ES_tradnl"/>
        </w:rPr>
        <w:t>DECRETO</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b/>
          <w:sz w:val="22"/>
          <w:szCs w:val="22"/>
          <w:lang w:val="es-ES_tradnl"/>
        </w:rPr>
        <w:t>Capítulo I</w:t>
      </w:r>
    </w:p>
    <w:p>
      <w:pPr>
        <w:pStyle w:val="Normal"/>
        <w:spacing w:lineRule="auto" w:line="240"/>
        <w:rPr>
          <w:lang w:val="es-ES_tradnl"/>
        </w:rPr>
      </w:pPr>
      <w:r>
        <w:rPr>
          <w:rFonts w:cs="Noto Sans" w:ascii="Noto Sans" w:hAnsi="Noto Sans"/>
          <w:b/>
          <w:sz w:val="22"/>
          <w:szCs w:val="22"/>
          <w:lang w:val="es-ES_tradnl"/>
        </w:rPr>
        <w:t>Disposiciones generales</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b/>
          <w:sz w:val="22"/>
          <w:szCs w:val="22"/>
          <w:lang w:val="es-ES_tradnl"/>
        </w:rPr>
        <w:t>Artículo 1</w:t>
      </w:r>
    </w:p>
    <w:p>
      <w:pPr>
        <w:pStyle w:val="Normal"/>
        <w:spacing w:lineRule="auto" w:line="240"/>
        <w:rPr>
          <w:lang w:val="es-ES_tradnl"/>
        </w:rPr>
      </w:pPr>
      <w:r>
        <w:rPr>
          <w:rFonts w:cs="Noto Sans" w:ascii="Noto Sans" w:hAnsi="Noto Sans"/>
          <w:b/>
          <w:sz w:val="22"/>
          <w:szCs w:val="22"/>
          <w:lang w:val="es-ES_tradnl"/>
        </w:rPr>
        <w:t>Objeto</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Este Decreto tiene por objeto regular el contenido, la formalización y el Registro del informe de evaluación de edificios en el ámbito territorial de las Illes Balears.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El informe de evaluación de edificios es el documento, subscrito por un técnico facultativo competente, que acredita la evaluación del estado de conservación del edificio, de las condiciones básicas de accesibilidad universal y no discriminación de las personas con discapacidad para su acceso y utilización, y la certificación de la eficiencia energética del mismo.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Artículo 2</w:t>
      </w:r>
    </w:p>
    <w:p>
      <w:pPr>
        <w:pStyle w:val="Normal"/>
        <w:keepNext w:val="true"/>
        <w:spacing w:lineRule="auto" w:line="240"/>
        <w:rPr>
          <w:lang w:val="es-ES_tradnl"/>
        </w:rPr>
      </w:pPr>
      <w:r>
        <w:rPr>
          <w:rFonts w:cs="Noto Sans" w:ascii="Noto Sans" w:hAnsi="Noto Sans"/>
          <w:b/>
          <w:sz w:val="22"/>
          <w:szCs w:val="22"/>
          <w:lang w:val="es-ES_tradnl"/>
        </w:rPr>
        <w:t xml:space="preserve">Ámbito de aplicación </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ind w:left="284" w:hanging="284"/>
        <w:rPr>
          <w:lang w:val="es-ES_tradnl"/>
        </w:rPr>
      </w:pPr>
      <w:r>
        <w:rPr>
          <w:rFonts w:cs="Noto Sans" w:ascii="Noto Sans" w:hAnsi="Noto Sans"/>
          <w:sz w:val="22"/>
          <w:szCs w:val="22"/>
          <w:lang w:val="es-ES_tradnl"/>
        </w:rPr>
        <w:t>1. El informe de evaluación de edificios será exigible a cualquier tipo de edificio, independientemente de su uso, que se encuentre en alguna de las siguientes situaciones:</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283"/>
        <w:rPr>
          <w:lang w:val="es-ES_tradnl"/>
        </w:rPr>
      </w:pPr>
      <w:r>
        <w:rPr>
          <w:rFonts w:cs="Noto Sans" w:ascii="Noto Sans" w:hAnsi="Noto Sans"/>
          <w:i/>
          <w:sz w:val="22"/>
          <w:szCs w:val="22"/>
          <w:lang w:val="es-ES_tradnl"/>
        </w:rPr>
        <w:t>a)</w:t>
      </w:r>
      <w:r>
        <w:rPr>
          <w:rFonts w:cs="Noto Sans" w:ascii="Noto Sans" w:hAnsi="Noto Sans"/>
          <w:sz w:val="22"/>
          <w:szCs w:val="22"/>
          <w:lang w:val="es-ES_tradnl"/>
        </w:rPr>
        <w:t xml:space="preserve"> Tener una antigüedad superior a treinta años, en el caso de la evaluación del estado de conservación.</w:t>
      </w:r>
    </w:p>
    <w:p>
      <w:pPr>
        <w:pStyle w:val="Normal"/>
        <w:spacing w:lineRule="auto" w:line="240"/>
        <w:ind w:left="567" w:hanging="283"/>
        <w:rPr>
          <w:lang w:val="es-ES_tradnl"/>
        </w:rPr>
      </w:pPr>
      <w:r>
        <w:rPr>
          <w:rFonts w:cs="Noto Sans" w:ascii="Noto Sans" w:hAnsi="Noto Sans"/>
          <w:i/>
          <w:sz w:val="22"/>
          <w:szCs w:val="22"/>
          <w:lang w:val="es-ES_tradnl"/>
        </w:rPr>
        <w:t>b)</w:t>
      </w:r>
      <w:r>
        <w:rPr>
          <w:rFonts w:cs="Noto Sans" w:ascii="Noto Sans" w:hAnsi="Noto Sans"/>
          <w:sz w:val="22"/>
          <w:szCs w:val="22"/>
          <w:lang w:val="es-ES_tradnl"/>
        </w:rPr>
        <w:t xml:space="preserve"> Tener una antigüedad superior a cincuenta años, en el caso de evaluación de las condiciones básicas de accesibilidad universal y no discriminación de las personas con discapacidad para el acceso al edificio y su utilización, y la certificación de la eficiencia energética del mismo.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Se exceptúan de la consideración de edificación aquellas construcciones de escasa entidad constructiva y sencillez técnica, de acuerdo con las así definidas en la legislación estatal.</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3. Quedarán exceptuados de la obligación de disponer del informe de evaluación de edificios aquellos edificios que hayan sido declarados en situación de ruina urbanística o aquellos sobre los que se haya iniciado un expediente de declaración de ruina. Si la declaración final fuera desestimatoria de la declaración de ruina, el informe de evaluación de edificios se realizará y registrará en el plazo máximo de tres meses desde que la resolución sea firme.</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4. </w:t>
      </w:r>
      <w:r>
        <w:rPr>
          <w:rFonts w:eastAsia="Times New Roman" w:cs="Noto Sans" w:ascii="Noto Sans" w:hAnsi="Noto Sans"/>
          <w:sz w:val="22"/>
          <w:szCs w:val="22"/>
          <w:lang w:val="es-ES_tradnl"/>
        </w:rPr>
        <w:t>En el caso de edificios que estén en obras o en previsión de iniciarlas, los propietarios podrán solicitar la suspensión del plazo de presentación del informe de evaluación del edificio siempre que se aporte la licencia de obras o cualquier documento aceptado por el derecho vigente. En cualquier caso, la suspensión será por un plazo determinado en función de lo que establezca la licencia para la ejecución de la obra, o en su caso, para la demolición del edificio.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5. Los ayuntamientos podrán establecer la obligación de efectuar el informe en aquellos edificios que, aunque no estén obligados a realizarlo conforme a este Decreto, presenten deficiencias estructurales, constructivas o en sus instalaciones que puedan suponer un riesgo para las personas, tanto en el interior del edificio como en la vía pública.</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6. Se deberá realizar un informe de evaluación de edificios para cada edificio extendiéndose la eficacia a todos y cada uno de los inmuebles que el mismo incluya.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sz w:val="22"/>
          <w:szCs w:val="22"/>
          <w:lang w:val="es-ES_tradnl"/>
        </w:rPr>
        <w:t>7. El número de inmuebles del edificio será el que conste en la ficha catastral.</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ind w:left="284" w:hanging="284"/>
        <w:rPr>
          <w:lang w:val="es-ES_tradnl"/>
        </w:rPr>
      </w:pPr>
      <w:r>
        <w:rPr>
          <w:rFonts w:cs="Noto Sans" w:ascii="Noto Sans" w:hAnsi="Noto Sans"/>
          <w:b/>
          <w:sz w:val="22"/>
          <w:szCs w:val="22"/>
          <w:lang w:val="es-ES_tradnl"/>
        </w:rPr>
        <w:t>Artículo 3</w:t>
      </w:r>
    </w:p>
    <w:p>
      <w:pPr>
        <w:pStyle w:val="Normal"/>
        <w:keepNext w:val="true"/>
        <w:spacing w:lineRule="auto" w:line="240"/>
        <w:ind w:left="284" w:hanging="284"/>
        <w:rPr>
          <w:lang w:val="es-ES_tradnl"/>
        </w:rPr>
      </w:pPr>
      <w:r>
        <w:rPr>
          <w:rFonts w:cs="Noto Sans" w:ascii="Noto Sans" w:hAnsi="Noto Sans"/>
          <w:b/>
          <w:sz w:val="22"/>
          <w:szCs w:val="22"/>
          <w:lang w:val="es-ES_tradnl"/>
        </w:rPr>
        <w:t>Antigüedad de la edificación</w:t>
      </w:r>
    </w:p>
    <w:p>
      <w:pPr>
        <w:pStyle w:val="Normal"/>
        <w:keepNext w:val="true"/>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ind w:left="284" w:hanging="284"/>
        <w:rPr>
          <w:lang w:val="es-ES_tradnl"/>
        </w:rPr>
      </w:pPr>
      <w:r>
        <w:rPr>
          <w:rFonts w:cs="Noto Sans" w:ascii="Noto Sans" w:hAnsi="Noto Sans"/>
          <w:sz w:val="22"/>
          <w:szCs w:val="22"/>
          <w:lang w:val="es-ES_tradnl"/>
        </w:rPr>
        <w:t>1. A efectos de calcular la antigüedad del edificio, se tendrá en cuenta la fecha de construcción del mismo que figure en la información catastral, salvo que se justifique documentalmente otra fecha de finalización de la construcción diferente de la que conste en el catastro.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En caso de que el edificio haya sido sometido a una rehabilitación integral, la antigüedad del mismo se calculará a partir de la fecha de finalización de estas obras.</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4</w:t>
      </w:r>
    </w:p>
    <w:p>
      <w:pPr>
        <w:pStyle w:val="Normal"/>
        <w:spacing w:lineRule="auto" w:line="240"/>
        <w:ind w:left="284" w:hanging="284"/>
        <w:rPr>
          <w:lang w:val="es-ES_tradnl"/>
        </w:rPr>
      </w:pPr>
      <w:r>
        <w:rPr>
          <w:rFonts w:cs="Noto Sans" w:ascii="Noto Sans" w:hAnsi="Noto Sans"/>
          <w:b/>
          <w:sz w:val="22"/>
          <w:szCs w:val="22"/>
          <w:lang w:val="es-ES_tradnl"/>
        </w:rPr>
        <w:t>Sujetos obligados</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1. Estarán obligadas a someter el edificio al informe de evaluación de edificios las personas, físicas o jurídicas, propietarias del edificio. En caso de edificios sometidos al régimen de propiedad horizontal, la obligación corresponderá al conjunto de propietarios, a la comunidad de propietarios o a la agrupación de comunidades de propietarios. De ahora en adelante se utilizará el término genérico </w:t>
      </w:r>
      <w:r>
        <w:rPr>
          <w:rFonts w:cs="Noto Sans" w:ascii="Noto Sans" w:hAnsi="Noto Sans"/>
          <w:i/>
          <w:sz w:val="22"/>
          <w:szCs w:val="22"/>
          <w:lang w:val="es-ES_tradnl"/>
        </w:rPr>
        <w:t>propietarios</w:t>
      </w:r>
      <w:r>
        <w:rPr>
          <w:rFonts w:cs="Noto Sans" w:ascii="Noto Sans" w:hAnsi="Noto Sans"/>
          <w:sz w:val="22"/>
          <w:szCs w:val="22"/>
          <w:lang w:val="es-ES_tradnl"/>
        </w:rPr>
        <w:t xml:space="preserve"> para referirse a cualquiera de los tipos de sujetos obligados comprendidos en este apartado.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2. Además del requerimiento de este informe, los propietarios en todo momento tendrán el deber de mantenimiento, conservación y rehabilitación del edificio de acuerdo con lo establecido en la Ley 38/1999, de 5 de noviembre, de Ordenación de la Edificación; en la Ley 12/2017, de 29 de diciembre, de urbanismo de las Illes Balears, y en cualquier otra disposición que así lo establezca.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Artículo 5</w:t>
      </w:r>
    </w:p>
    <w:p>
      <w:pPr>
        <w:pStyle w:val="Normal"/>
        <w:spacing w:lineRule="auto" w:line="240"/>
        <w:rPr>
          <w:lang w:val="es-ES_tradnl"/>
        </w:rPr>
      </w:pPr>
      <w:r>
        <w:rPr>
          <w:rFonts w:cs="Noto Sans" w:ascii="Noto Sans" w:hAnsi="Noto Sans"/>
          <w:b/>
          <w:sz w:val="22"/>
          <w:szCs w:val="22"/>
          <w:lang w:val="es-ES_tradnl"/>
        </w:rPr>
        <w:t>Obligaciones</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sz w:val="22"/>
          <w:szCs w:val="22"/>
          <w:lang w:val="es-ES_tradnl"/>
        </w:rPr>
        <w:t>Los propietarios del edificio, además de someter el edificio al informe de evaluación de edificios, tendrán las siguientes obligaciones: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sz w:val="22"/>
          <w:szCs w:val="22"/>
          <w:lang w:val="es-ES_tradnl"/>
        </w:rPr>
        <w:t>1. Realizar las obras que se puedan derivar del informe de evaluación de edificios.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En caso de edificios que tengan más de un inmueble, disponer de un seguro del edificio que cubra la responsabilidad civil. La Administración podrá exigir en cualquier momento la acreditación de este seguro.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3. Conservar el informe de evaluación de edificios emitido, así como la documentación correspondiente a las obras y las reparaciones que se realicen derivadas de la evaluación, que se incluirá en el libro del edificio, si se dispone del mismo. </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b/>
          <w:sz w:val="22"/>
          <w:szCs w:val="22"/>
          <w:lang w:val="es-ES_tradnl"/>
        </w:rPr>
        <w:t>Artículo 6</w:t>
      </w:r>
    </w:p>
    <w:p>
      <w:pPr>
        <w:pStyle w:val="Normal"/>
        <w:spacing w:lineRule="auto" w:line="240"/>
        <w:rPr>
          <w:lang w:val="es-ES_tradnl"/>
        </w:rPr>
      </w:pPr>
      <w:r>
        <w:rPr>
          <w:rFonts w:cs="Noto Sans" w:ascii="Noto Sans" w:hAnsi="Noto Sans"/>
          <w:b/>
          <w:sz w:val="22"/>
          <w:szCs w:val="22"/>
          <w:lang w:val="es-ES_tradnl"/>
        </w:rPr>
        <w:t>Alcance de la evaluación</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El objetivo de la evaluación del edificio será identificar las deficiencias detectadas visualmente durante la inspección sin que forme parte de la misma la detección de posibles vicios ocultos ni prever causas sobrevenidas, y también informar a los propietarios sobre las actuaciones que se deberán realizar para cumplir el deber de conservación, mantenimiento y rehabilitación.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Esta inspección se entenderá referida en todo el edificio. En todo caso, será imprescindible que la inspección incluya las fachadas, las plantas bajas, los sótanos, las plantas bajo cubierta y las cubiertas, así como el resto de elementos comunes. En el resto de plantas se inspeccionará, como mínimo, el 60 % de los inmuebles y, en todo caso, incluirá un inmueble por planta.</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3. Las personas propietarias u ocupantes de los inmuebles deberán facilitar el acceso a los mismos en el momento de la inspección. Si el técnico no pudiera acceder a algunos de los inmuebles hará constar esta circunstancia en el informe con indicación de si ello supone alguna limitación a su contenido y, en su caso, a la validez para el conjunto del edificio.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4. Si el técnico, para determinar el alcance de alguna deficiencia visualmente detectada, lo considerara necesario debería proponer a los propietarios la elaboración de un informe técnico que establezca un diagnóstico preciso de los daños y la forma de subsanarlos.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5. Quedará excluida del informe de evaluación de edificios la verificación de instalaciones cuya revisión o inspección esté sometida a normativa sectorial específica.</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Capítulo II</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t>Informe de evaluación de edificios</w:t>
      </w:r>
    </w:p>
    <w:p>
      <w:pPr>
        <w:pStyle w:val="Normal"/>
        <w:keepNext w:val="true"/>
        <w:spacing w:lineRule="auto" w:line="240"/>
        <w:rPr>
          <w:lang w:val="es-ES_tradnl"/>
        </w:rPr>
      </w:pPr>
      <w:r>
        <w:rPr>
          <w:lang w:val="es-ES_tradnl"/>
        </w:rPr>
      </w:r>
    </w:p>
    <w:p>
      <w:pPr>
        <w:pStyle w:val="Normal"/>
        <w:keepNext w:val="true"/>
        <w:spacing w:lineRule="auto" w:line="240"/>
        <w:ind w:left="284" w:hanging="284"/>
        <w:rPr>
          <w:lang w:val="es-ES_tradnl"/>
        </w:rPr>
      </w:pPr>
      <w:r>
        <w:rPr>
          <w:rFonts w:cs="Noto Sans" w:ascii="Noto Sans" w:hAnsi="Noto Sans"/>
          <w:b/>
          <w:sz w:val="22"/>
          <w:szCs w:val="22"/>
          <w:lang w:val="es-ES_tradnl"/>
        </w:rPr>
        <w:t>Artículo 7</w:t>
      </w:r>
    </w:p>
    <w:p>
      <w:pPr>
        <w:pStyle w:val="Normal"/>
        <w:keepNext w:val="true"/>
        <w:spacing w:lineRule="auto" w:line="240"/>
        <w:ind w:left="284" w:hanging="284"/>
        <w:rPr>
          <w:lang w:val="es-ES_tradnl"/>
        </w:rPr>
      </w:pPr>
      <w:r>
        <w:rPr>
          <w:rFonts w:cs="Noto Sans" w:ascii="Noto Sans" w:hAnsi="Noto Sans"/>
          <w:b/>
          <w:sz w:val="22"/>
          <w:szCs w:val="22"/>
          <w:lang w:val="es-ES_tradnl"/>
        </w:rPr>
        <w:t>Técnico facultativo competente</w:t>
      </w:r>
    </w:p>
    <w:p>
      <w:pPr>
        <w:pStyle w:val="Normal"/>
        <w:keepNext w:val="true"/>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ind w:left="284" w:hanging="284"/>
        <w:rPr>
          <w:lang w:val="es-ES_tradnl"/>
        </w:rPr>
      </w:pPr>
      <w:r>
        <w:rPr>
          <w:rFonts w:cs="Noto Sans" w:ascii="Noto Sans" w:hAnsi="Noto Sans"/>
          <w:sz w:val="22"/>
          <w:szCs w:val="22"/>
          <w:lang w:val="es-ES_tradnl"/>
        </w:rPr>
        <w:t>1. Podrán subscribir el informe de evaluación de edificios tanto los técnicos facultativos competentes como, en su caso, las entidades de control de la edificación u otras entidades registradas, siempre que dispongan de los técnicos competentes y los informes vayan firmados por los mismos.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2. A los efectos de este Decreto, se considerará técnico facultativo competente aquel que disponga de cualquiera de las titulaciones académicas y profesionales que habilitan para la redacción de proyectos o dirección de obras y dirección de ejecución de obras, de acuerdo con el uso de la edificación objeto de evaluación, según lo establecido por la Ley 38/1999, de 5 de noviembre, de Ordenación de la Edificación; sin perjuicio de que la certificación energética pueda ser subscrita por un técnico diferente, de acuerdo con el Real Decreto 235/2013, de 5 de abril, por el que se aprueba el procedimiento básico para la certificación de la eficiencia energética de los edificios. </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Default"/>
        <w:ind w:left="284" w:hanging="284"/>
        <w:rPr>
          <w:lang w:val="es-ES_tradnl"/>
        </w:rPr>
      </w:pPr>
      <w:r>
        <w:rPr>
          <w:rFonts w:cs="Noto Sans" w:ascii="Noto Sans" w:hAnsi="Noto Sans"/>
          <w:color w:val="auto"/>
          <w:sz w:val="22"/>
          <w:szCs w:val="22"/>
          <w:lang w:val="es-ES_tradnl"/>
        </w:rPr>
        <w:t xml:space="preserve">3. Cuando se trate de edificios que </w:t>
      </w:r>
      <w:r>
        <w:rPr>
          <w:rFonts w:eastAsia="MS Mincho" w:cs="Noto Sans" w:ascii="Noto Sans" w:hAnsi="Noto Sans"/>
          <w:color w:val="auto"/>
          <w:sz w:val="22"/>
          <w:szCs w:val="22"/>
          <w:lang w:val="es-ES_tradnl"/>
        </w:rPr>
        <w:t>pertenezcan a las administraciones públicas enumeradas en el artículo 2 de la Ley 39/2015, de 1 de octubre, del Procedimiento Administrativo Común de las Administraciones Públicas, podrán subscribir los informes de evaluación, en su caso, los responsables de los correspondientes servicios técnicos que, por su competencia profesional, puedan asumir las mismas funciones a que se refiere el apartado anterior.</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4. La emisión del informe se ajustará a los principios de imparcialidad, objetividad e independencia del autor, y al principio de veracidad de las manifestaciones que contenga.</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8</w:t>
      </w:r>
    </w:p>
    <w:p>
      <w:pPr>
        <w:pStyle w:val="Normal"/>
        <w:spacing w:lineRule="auto" w:line="240"/>
        <w:ind w:left="284" w:hanging="284"/>
        <w:rPr>
          <w:lang w:val="es-ES_tradnl"/>
        </w:rPr>
      </w:pPr>
      <w:r>
        <w:rPr>
          <w:rFonts w:cs="Noto Sans" w:ascii="Noto Sans" w:hAnsi="Noto Sans"/>
          <w:b/>
          <w:sz w:val="22"/>
          <w:szCs w:val="22"/>
          <w:lang w:val="es-ES_tradnl"/>
        </w:rPr>
        <w:t xml:space="preserve">Contenido del informe de evaluación de edificios </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El informe de evaluación de edificios se elaborará de acuerdo con la aplicación informática creada por la Consejería de Movilidad y Vivienda, según el modelo normalizado que se establezca, subscribiéndose con firma electrónica.</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El informe de evaluación de edificios incluirá, como mínimo, el contenido obligatorio establecido en el modelo normalizado y, además, los extremos siguientes:</w:t>
      </w:r>
    </w:p>
    <w:p>
      <w:pPr>
        <w:pStyle w:val="Normal"/>
        <w:spacing w:lineRule="auto" w:line="240"/>
        <w:ind w:left="284"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0"/>
        <w:rPr>
          <w:lang w:val="es-ES_tradnl"/>
        </w:rPr>
      </w:pPr>
      <w:r>
        <w:rPr>
          <w:rFonts w:cs="Noto Sans" w:ascii="Noto Sans" w:hAnsi="Noto Sans"/>
          <w:i/>
          <w:sz w:val="22"/>
          <w:szCs w:val="22"/>
          <w:lang w:val="es-ES_tradnl"/>
        </w:rPr>
        <w:t>a)</w:t>
      </w:r>
      <w:r>
        <w:rPr>
          <w:rFonts w:cs="Noto Sans" w:ascii="Noto Sans" w:hAnsi="Noto Sans"/>
          <w:sz w:val="22"/>
          <w:szCs w:val="22"/>
          <w:lang w:val="es-ES_tradnl"/>
        </w:rPr>
        <w:t xml:space="preserve"> Datos del edificio:</w:t>
      </w:r>
    </w:p>
    <w:p>
      <w:pPr>
        <w:pStyle w:val="Normal"/>
        <w:spacing w:lineRule="auto" w:line="240"/>
        <w:ind w:left="284"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142"/>
        <w:rPr>
          <w:lang w:val="es-ES_tradnl"/>
        </w:rPr>
      </w:pPr>
      <w:r>
        <w:rPr>
          <w:rFonts w:cs="Noto Sans" w:ascii="Noto Sans" w:hAnsi="Noto Sans"/>
          <w:i/>
          <w:sz w:val="22"/>
          <w:szCs w:val="22"/>
          <w:lang w:val="es-ES_tradnl"/>
        </w:rPr>
        <w:t>i)</w:t>
      </w:r>
      <w:r>
        <w:rPr>
          <w:rFonts w:cs="Noto Sans" w:ascii="Noto Sans" w:hAnsi="Noto Sans"/>
          <w:sz w:val="22"/>
          <w:szCs w:val="22"/>
          <w:lang w:val="es-ES_tradnl"/>
        </w:rPr>
        <w:t xml:space="preserve"> Datos identificativos: en el caso de edificios con división horizontal, se incluirán todos los inmuebles que formen parte del edificio con los correspondientes propietarios.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0"/>
        <w:rPr>
          <w:lang w:val="es-ES_tradnl"/>
        </w:rPr>
      </w:pPr>
      <w:r>
        <w:rPr>
          <w:rFonts w:cs="Noto Sans" w:ascii="Noto Sans" w:hAnsi="Noto Sans"/>
          <w:i/>
          <w:sz w:val="22"/>
          <w:szCs w:val="22"/>
          <w:lang w:val="es-ES_tradnl"/>
        </w:rPr>
        <w:t>ii)</w:t>
      </w:r>
      <w:r>
        <w:rPr>
          <w:rFonts w:cs="Noto Sans" w:ascii="Noto Sans" w:hAnsi="Noto Sans"/>
          <w:sz w:val="22"/>
          <w:szCs w:val="22"/>
          <w:lang w:val="es-ES_tradnl"/>
        </w:rPr>
        <w:t xml:space="preserve"> Situación del edificio sobre plano catastral.</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0"/>
        <w:rPr>
          <w:lang w:val="es-ES_tradnl"/>
        </w:rPr>
      </w:pPr>
      <w:r>
        <w:rPr>
          <w:rFonts w:cs="Noto Sans" w:ascii="Noto Sans" w:hAnsi="Noto Sans"/>
          <w:i/>
          <w:sz w:val="22"/>
          <w:szCs w:val="22"/>
          <w:lang w:val="es-ES_tradnl"/>
        </w:rPr>
        <w:t>iii)</w:t>
      </w:r>
      <w:r>
        <w:rPr>
          <w:rFonts w:cs="Noto Sans" w:ascii="Noto Sans" w:hAnsi="Noto Sans"/>
          <w:sz w:val="22"/>
          <w:szCs w:val="22"/>
          <w:lang w:val="es-ES_tradnl"/>
        </w:rPr>
        <w:t xml:space="preserve"> Fotografías en color del edificio.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0"/>
        <w:rPr>
          <w:lang w:val="es-ES_tradnl"/>
        </w:rPr>
      </w:pPr>
      <w:r>
        <w:rPr>
          <w:rFonts w:cs="Noto Sans" w:ascii="Noto Sans" w:hAnsi="Noto Sans"/>
          <w:i/>
          <w:sz w:val="22"/>
          <w:szCs w:val="22"/>
          <w:lang w:val="es-ES_tradnl"/>
        </w:rPr>
        <w:t>b)</w:t>
      </w:r>
      <w:r>
        <w:rPr>
          <w:rFonts w:cs="Noto Sans" w:ascii="Noto Sans" w:hAnsi="Noto Sans"/>
          <w:sz w:val="22"/>
          <w:szCs w:val="22"/>
          <w:lang w:val="es-ES_tradnl"/>
        </w:rPr>
        <w:t xml:space="preserve"> Informe técnico del edificio: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142"/>
        <w:rPr>
          <w:lang w:val="es-ES_tradnl"/>
        </w:rPr>
      </w:pPr>
      <w:r>
        <w:rPr>
          <w:rFonts w:cs="Noto Sans" w:ascii="Noto Sans" w:hAnsi="Noto Sans"/>
          <w:i/>
          <w:sz w:val="22"/>
          <w:szCs w:val="22"/>
          <w:lang w:val="es-ES_tradnl"/>
        </w:rPr>
        <w:t>i)</w:t>
      </w:r>
      <w:r>
        <w:rPr>
          <w:rFonts w:cs="Noto Sans" w:ascii="Noto Sans" w:hAnsi="Noto Sans"/>
          <w:sz w:val="22"/>
          <w:szCs w:val="22"/>
          <w:lang w:val="es-ES_tradnl"/>
        </w:rPr>
        <w:t xml:space="preserve"> Evaluación del estado de conservación: el técnico competente identificará, mediante la inspección visual, las lesiones y deficiencias que puedan afectar a los elementos comunes, los cimientos, la estructura, las fachadas, las medianeras, las cubiertas y las instalaciones comunes de suministro de agua, electricidad y saneamiento, así como otros elementos, en especial los que puedan suponer un riesgo para las personas.</w:t>
      </w:r>
    </w:p>
    <w:p>
      <w:pPr>
        <w:pStyle w:val="Normal"/>
        <w:spacing w:lineRule="auto" w:line="240"/>
        <w:ind w:left="709" w:hanging="0"/>
        <w:rPr>
          <w:lang w:val="es-ES_tradnl"/>
        </w:rPr>
      </w:pPr>
      <w:r>
        <w:rPr>
          <w:rFonts w:cs="Noto Sans" w:ascii="Noto Sans" w:hAnsi="Noto Sans"/>
          <w:sz w:val="22"/>
          <w:szCs w:val="22"/>
          <w:lang w:val="es-ES_tradnl"/>
        </w:rPr>
        <w:t>En el informe, en su caso, se incluirán fotografías de las lesiones o deficiencias detectadas.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142"/>
        <w:rPr>
          <w:lang w:val="es-ES_tradnl"/>
        </w:rPr>
      </w:pPr>
      <w:r>
        <w:rPr>
          <w:rFonts w:cs="Noto Sans" w:ascii="Noto Sans" w:hAnsi="Noto Sans"/>
          <w:i/>
          <w:sz w:val="22"/>
          <w:szCs w:val="22"/>
          <w:lang w:val="es-ES_tradnl"/>
        </w:rPr>
        <w:t>ii)</w:t>
      </w:r>
      <w:r>
        <w:rPr>
          <w:rFonts w:cs="Noto Sans" w:ascii="Noto Sans" w:hAnsi="Noto Sans"/>
          <w:sz w:val="22"/>
          <w:szCs w:val="22"/>
          <w:lang w:val="es-ES_tradnl"/>
        </w:rPr>
        <w:t xml:space="preserve"> Evaluación de las condiciones básicas de accesibilidad: el técnico competente evaluará las condiciones básicas de accesibilidad universal y no discriminación de las personas con discapacidad para el acceso al edificio y su utilización, de acuerdo con la normativa vigente, y determinará si el edificio es susceptible o no de realizar los ajustes razonables para conseguir que esta accesibilidad sea universal y no discriminatoria.</w:t>
      </w:r>
    </w:p>
    <w:p>
      <w:pPr>
        <w:pStyle w:val="Normal"/>
        <w:spacing w:lineRule="auto" w:line="240"/>
        <w:ind w:left="284"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0"/>
        <w:rPr>
          <w:lang w:val="es-ES_tradnl"/>
        </w:rPr>
      </w:pPr>
      <w:r>
        <w:rPr>
          <w:rFonts w:cs="Noto Sans" w:ascii="Noto Sans" w:hAnsi="Noto Sans"/>
          <w:sz w:val="22"/>
          <w:szCs w:val="22"/>
          <w:lang w:val="es-ES_tradnl"/>
        </w:rPr>
        <w:t xml:space="preserve">A efectos de este Decreto, se entenderá por </w:t>
      </w:r>
      <w:r>
        <w:rPr>
          <w:rFonts w:cs="Noto Sans" w:ascii="Noto Sans" w:hAnsi="Noto Sans"/>
          <w:i/>
          <w:sz w:val="22"/>
          <w:szCs w:val="22"/>
          <w:lang w:val="es-ES_tradnl"/>
        </w:rPr>
        <w:t>ajustes razonables</w:t>
      </w:r>
      <w:r>
        <w:rPr>
          <w:rFonts w:cs="Noto Sans" w:ascii="Noto Sans" w:hAnsi="Noto Sans"/>
          <w:sz w:val="22"/>
          <w:szCs w:val="22"/>
          <w:lang w:val="es-ES_tradnl"/>
        </w:rPr>
        <w:t xml:space="preserve"> aquellas medidas de adecuación, de forma eficaz, segura y práctica que no supongan una carga desproporcionada. </w:t>
      </w:r>
    </w:p>
    <w:p>
      <w:pPr>
        <w:pStyle w:val="Normal"/>
        <w:spacing w:lineRule="auto" w:line="240"/>
        <w:ind w:left="567"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0"/>
        <w:rPr>
          <w:lang w:val="es-ES_tradnl"/>
        </w:rPr>
      </w:pPr>
      <w:r>
        <w:rPr>
          <w:rFonts w:cs="Noto Sans" w:ascii="Noto Sans" w:hAnsi="Noto Sans"/>
          <w:sz w:val="22"/>
          <w:szCs w:val="22"/>
          <w:lang w:val="es-ES_tradnl"/>
        </w:rPr>
        <w:t xml:space="preserve">Para determinar si una carga es o no proporcionada se tendrán en cuenta los costes de la medida, los efectos discriminatorios que su no adopción podría representar, la estructura y las características de la persona o entidad que la deba poner en práctica y la posibilidad de obtener financiación oficial o cualquier otra ayuda. </w:t>
      </w:r>
    </w:p>
    <w:p>
      <w:pPr>
        <w:pStyle w:val="Normal"/>
        <w:spacing w:lineRule="auto" w:line="240"/>
        <w:ind w:left="567"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0"/>
        <w:rPr>
          <w:lang w:val="es-ES_tradnl"/>
        </w:rPr>
      </w:pPr>
      <w:r>
        <w:rPr>
          <w:rFonts w:cs="Noto Sans" w:ascii="Noto Sans" w:hAnsi="Noto Sans"/>
          <w:sz w:val="22"/>
          <w:szCs w:val="22"/>
          <w:lang w:val="es-ES_tradnl"/>
        </w:rPr>
        <w:t>Se entenderá que la carga es desproporcionada en los edificios constituidos en régimen de propiedad horizontal cuando el coste de las obras repercutido anualmente, y descontadas las ayudas públicas a las que se pueda tener derecho, exceda doce mensualidades ordinarias de gastos comunes.</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0"/>
        <w:rPr>
          <w:lang w:val="es-ES_tradnl"/>
        </w:rPr>
      </w:pPr>
      <w:r>
        <w:rPr>
          <w:rFonts w:cs="Noto Sans" w:ascii="Noto Sans" w:hAnsi="Noto Sans"/>
          <w:i/>
          <w:sz w:val="22"/>
          <w:szCs w:val="22"/>
          <w:lang w:val="es-ES_tradnl"/>
        </w:rPr>
        <w:t>iii)</w:t>
      </w:r>
      <w:r>
        <w:rPr>
          <w:rFonts w:cs="Noto Sans" w:ascii="Noto Sans" w:hAnsi="Noto Sans"/>
          <w:sz w:val="22"/>
          <w:szCs w:val="22"/>
          <w:lang w:val="es-ES_tradnl"/>
        </w:rPr>
        <w:t xml:space="preserve"> Resultado de la inspección: con el contenido indicado en el artículo siguiente.</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283"/>
        <w:rPr>
          <w:lang w:val="es-ES_tradnl"/>
        </w:rPr>
      </w:pPr>
      <w:r>
        <w:rPr>
          <w:rFonts w:cs="Noto Sans" w:ascii="Noto Sans" w:hAnsi="Noto Sans"/>
          <w:i/>
          <w:sz w:val="22"/>
          <w:szCs w:val="22"/>
          <w:lang w:val="es-ES_tradnl"/>
        </w:rPr>
        <w:t xml:space="preserve">c) </w:t>
      </w:r>
      <w:r>
        <w:rPr>
          <w:rFonts w:cs="Noto Sans" w:ascii="Noto Sans" w:hAnsi="Noto Sans"/>
          <w:sz w:val="22"/>
          <w:szCs w:val="22"/>
          <w:lang w:val="es-ES_tradnl"/>
        </w:rPr>
        <w:t>Certificado de eficiencia energética del edificio, debidamente registrado en el registro del órgano competente, con el contenido y mediante el procedimiento establecido en el Real Decreto 235/2013, de 5 de abril, por el que se aprueba el procedimiento básico para la certificación energética de los edificios, o normativa que lo sustituya, salvo las excepciones que establece el artículo 2.2 del mencionado Real Decreto.</w:t>
      </w:r>
    </w:p>
    <w:p>
      <w:pPr>
        <w:pStyle w:val="Normal"/>
        <w:spacing w:lineRule="auto" w:line="240"/>
        <w:ind w:left="567" w:hanging="283"/>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0"/>
        <w:rPr>
          <w:lang w:val="es-ES_tradnl"/>
        </w:rPr>
      </w:pPr>
      <w:r>
        <w:rPr>
          <w:rFonts w:cs="Noto Sans" w:ascii="Noto Sans" w:hAnsi="Noto Sans"/>
          <w:sz w:val="22"/>
          <w:szCs w:val="22"/>
          <w:lang w:val="es-ES_tradnl"/>
        </w:rPr>
        <w:t>Si el edificio ya dispusiera de un certificado de eficiencia energética válido sin que hubiera habido variaciones en las características energéticas del mismo o de sus instalaciones, sería suficiente adjuntar este certificado; en caso contrario, se efectuaría una nueva certificación.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9</w:t>
      </w:r>
    </w:p>
    <w:p>
      <w:pPr>
        <w:pStyle w:val="Normal"/>
        <w:spacing w:lineRule="auto" w:line="240"/>
        <w:ind w:left="284" w:hanging="284"/>
        <w:rPr>
          <w:lang w:val="es-ES_tradnl"/>
        </w:rPr>
      </w:pPr>
      <w:r>
        <w:rPr>
          <w:rFonts w:cs="Noto Sans" w:ascii="Noto Sans" w:hAnsi="Noto Sans"/>
          <w:b/>
          <w:sz w:val="22"/>
          <w:szCs w:val="22"/>
          <w:lang w:val="es-ES_tradnl"/>
        </w:rPr>
        <w:t>Resultado del informe de evaluación de edificios</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El resultado del informe de evaluación de edificios comprenderá cada una de las partes que lo integran:</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0"/>
        <w:rPr>
          <w:lang w:val="es-ES_tradnl"/>
        </w:rPr>
      </w:pPr>
      <w:r>
        <w:rPr>
          <w:rFonts w:cs="Noto Sans" w:ascii="Noto Sans" w:hAnsi="Noto Sans"/>
          <w:i/>
          <w:sz w:val="22"/>
          <w:szCs w:val="22"/>
          <w:lang w:val="es-ES_tradnl"/>
        </w:rPr>
        <w:t>a)</w:t>
      </w:r>
      <w:r>
        <w:rPr>
          <w:rFonts w:cs="Noto Sans" w:ascii="Noto Sans" w:hAnsi="Noto Sans"/>
          <w:sz w:val="22"/>
          <w:szCs w:val="22"/>
          <w:lang w:val="es-ES_tradnl"/>
        </w:rPr>
        <w:t xml:space="preserve"> Respecto del estado de conservación, el resultado podrá ser:</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709" w:hanging="142"/>
        <w:rPr>
          <w:lang w:val="es-ES_tradnl"/>
        </w:rPr>
      </w:pPr>
      <w:r>
        <w:rPr>
          <w:rFonts w:cs="Noto Sans" w:ascii="Noto Sans" w:hAnsi="Noto Sans"/>
          <w:i/>
          <w:sz w:val="22"/>
          <w:szCs w:val="22"/>
          <w:lang w:val="es-ES_tradnl"/>
        </w:rPr>
        <w:t>i</w:t>
      </w:r>
      <w:bookmarkStart w:id="0" w:name="_GoBack"/>
      <w:bookmarkEnd w:id="0"/>
      <w:r>
        <w:rPr>
          <w:rFonts w:cs="Noto Sans" w:ascii="Noto Sans" w:hAnsi="Noto Sans"/>
          <w:i/>
          <w:sz w:val="22"/>
          <w:szCs w:val="22"/>
          <w:lang w:val="es-ES_tradnl"/>
        </w:rPr>
        <w:t>)</w:t>
      </w:r>
      <w:r>
        <w:rPr>
          <w:rFonts w:cs="Noto Sans" w:ascii="Noto Sans" w:hAnsi="Noto Sans"/>
          <w:sz w:val="22"/>
          <w:szCs w:val="22"/>
          <w:lang w:val="es-ES_tradnl"/>
        </w:rPr>
        <w:t xml:space="preserve"> Favorable: cuando el edificio no presente ninguna lesión o deficiencia y, por lo tanto, no haga falta llevar a cabo ningún tipo de intervención.</w:t>
      </w:r>
    </w:p>
    <w:p>
      <w:pPr>
        <w:pStyle w:val="Normal"/>
        <w:spacing w:lineRule="auto" w:line="240"/>
        <w:ind w:left="709" w:hanging="0"/>
        <w:rPr>
          <w:lang w:val="es-ES_tradnl"/>
        </w:rPr>
      </w:pPr>
      <w:r>
        <w:rPr>
          <w:rFonts w:cs="Noto Sans" w:ascii="Noto Sans" w:hAnsi="Noto Sans"/>
          <w:sz w:val="22"/>
          <w:szCs w:val="22"/>
          <w:lang w:val="es-ES_tradnl"/>
        </w:rPr>
        <w:t>Así mismo, se considerará favorable cuando se detecten deficiencias que no afecten a la seguridad constructiva del edificio ni supongan un peligro para las personas pero hagan necesaria la realización de trabajos de mantenimiento preventivo o corrector para evitar su agravación, o porque puedan provocar la aparición de nuevas deficiencias.</w:t>
      </w:r>
    </w:p>
    <w:p>
      <w:pPr>
        <w:pStyle w:val="Normal"/>
        <w:spacing w:lineRule="auto" w:line="240"/>
        <w:ind w:left="709" w:hanging="0"/>
        <w:rPr>
          <w:lang w:val="es-ES_tradnl"/>
        </w:rPr>
      </w:pPr>
      <w:r>
        <w:rPr>
          <w:rFonts w:cs="Noto Sans" w:ascii="Noto Sans" w:hAnsi="Noto Sans"/>
          <w:sz w:val="22"/>
          <w:szCs w:val="22"/>
          <w:lang w:val="es-ES_tradnl"/>
        </w:rPr>
        <w:t>En este caso, se tendrá que solicitar la correspondiente licencia o, si procede, se tendrá que presentar la comunicación previa, en el plazo máximo de doce meses.</w:t>
      </w:r>
    </w:p>
    <w:p>
      <w:pPr>
        <w:pStyle w:val="Normal"/>
        <w:spacing w:lineRule="auto" w:line="240"/>
        <w:ind w:left="567"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851" w:hanging="284"/>
        <w:rPr>
          <w:lang w:val="es-ES_tradnl"/>
        </w:rPr>
      </w:pPr>
      <w:r>
        <w:rPr>
          <w:rFonts w:cs="Noto Sans" w:ascii="Noto Sans" w:hAnsi="Noto Sans"/>
          <w:i/>
          <w:sz w:val="22"/>
          <w:szCs w:val="22"/>
          <w:lang w:val="es-ES_tradnl"/>
        </w:rPr>
        <w:t>ii)</w:t>
      </w:r>
      <w:r>
        <w:rPr>
          <w:rFonts w:cs="Noto Sans" w:ascii="Noto Sans" w:hAnsi="Noto Sans"/>
          <w:sz w:val="22"/>
          <w:szCs w:val="22"/>
          <w:lang w:val="es-ES_tradnl"/>
        </w:rPr>
        <w:t xml:space="preserve"> Desfavorable: cuando el edificio presente lesiones o deficiencias que hagan necesaria la realización de obras de mayor entidad. En este caso, el informe tendrá que detallar las lesiones o deficiencias detectadas.</w:t>
      </w:r>
    </w:p>
    <w:p>
      <w:pPr>
        <w:pStyle w:val="Normal"/>
        <w:spacing w:lineRule="auto" w:line="240"/>
        <w:ind w:left="851" w:hanging="0"/>
        <w:rPr>
          <w:lang w:val="es-ES_tradnl"/>
        </w:rPr>
      </w:pPr>
      <w:r>
        <w:rPr>
          <w:rFonts w:cs="Noto Sans" w:ascii="Noto Sans" w:hAnsi="Noto Sans"/>
          <w:sz w:val="22"/>
          <w:szCs w:val="22"/>
          <w:lang w:val="es-ES_tradnl"/>
        </w:rPr>
        <w:t>Cuando el informe sea desfavorable se especificará en cuál de los siguientes supuestos se enmarca:</w:t>
      </w:r>
    </w:p>
    <w:p>
      <w:pPr>
        <w:pStyle w:val="Normal"/>
        <w:spacing w:lineRule="auto" w:line="240"/>
        <w:ind w:left="567"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1134" w:hanging="283"/>
        <w:rPr>
          <w:lang w:val="es-ES_tradnl"/>
        </w:rPr>
      </w:pPr>
      <w:r>
        <w:rPr>
          <w:rFonts w:cs="Noto Sans" w:ascii="Noto Sans" w:hAnsi="Noto Sans"/>
          <w:sz w:val="22"/>
          <w:szCs w:val="22"/>
          <w:lang w:val="es-ES_tradnl"/>
        </w:rPr>
        <w:t>1) En caso de existir un peligro inminente para la estabilidad del edificio o para la seguridad de personas o bienes, los propietarios tendrán que adoptar las medidas cautelares e inmediatas, imprescindibles y urgentes, que indique el técnico, y bajo dirección técnica competente, para eliminar el riesgo inminente, sin necesidad de licencia o comunicación previa.</w:t>
      </w:r>
    </w:p>
    <w:p>
      <w:pPr>
        <w:pStyle w:val="Normal"/>
        <w:spacing w:lineRule="auto" w:line="240"/>
        <w:ind w:left="1134" w:hanging="0"/>
        <w:rPr>
          <w:lang w:val="es-ES_tradnl"/>
        </w:rPr>
      </w:pPr>
      <w:r>
        <w:rPr>
          <w:rFonts w:cs="Noto Sans" w:ascii="Noto Sans" w:hAnsi="Noto Sans"/>
          <w:sz w:val="22"/>
          <w:szCs w:val="22"/>
          <w:lang w:val="es-ES_tradnl"/>
        </w:rPr>
        <w:t>Una vez eliminado el peligro inminente, se justificará la adopción de las medidas adoptadas y se dará cumplimiento al siguiente apartado.</w:t>
      </w:r>
    </w:p>
    <w:p>
      <w:pPr>
        <w:pStyle w:val="Normal"/>
        <w:tabs>
          <w:tab w:val="clear" w:pos="708"/>
          <w:tab w:val="left" w:pos="567" w:leader="none"/>
          <w:tab w:val="left" w:pos="851" w:leader="none"/>
        </w:tabs>
        <w:spacing w:lineRule="auto" w:line="240"/>
        <w:ind w:left="284"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1134" w:hanging="283"/>
        <w:rPr>
          <w:lang w:val="es-ES_tradnl"/>
        </w:rPr>
      </w:pPr>
      <w:r>
        <w:rPr>
          <w:rFonts w:cs="Noto Sans" w:ascii="Noto Sans" w:hAnsi="Noto Sans"/>
          <w:sz w:val="22"/>
          <w:szCs w:val="22"/>
          <w:lang w:val="es-ES_tradnl"/>
        </w:rPr>
        <w:t>2) En caso de necesidad de realizar obras, los propietarios estarán obligados a subsanar las lesiones o deficiencias descritas en el informe, sin necesidad de requerimiento previo por parte de la Administración. Dispondrán de un plazo máximo de doce meses para solicitar la licencia o presentar la comunicación previa. En caso de incumplimiento de esta obligación, se iniciará un procedimiento de ejecución forzosa, según el artículo 100 de la Ley 39/2015, de 1 de octubre, del Procedimiento Administrativo Común de las Administraciones Públicas.</w:t>
      </w:r>
    </w:p>
    <w:p>
      <w:pPr>
        <w:pStyle w:val="Normal"/>
        <w:spacing w:lineRule="auto" w:line="240"/>
        <w:ind w:left="1134" w:hanging="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1134" w:hanging="0"/>
        <w:rPr>
          <w:lang w:val="es-ES_tradnl"/>
        </w:rPr>
      </w:pPr>
      <w:r>
        <w:rPr>
          <w:rFonts w:cs="Noto Sans" w:ascii="Noto Sans" w:hAnsi="Noto Sans"/>
          <w:sz w:val="22"/>
          <w:szCs w:val="22"/>
          <w:lang w:val="es-ES_tradnl"/>
        </w:rPr>
        <w:t>Una vez que se haya concedido la licencia o que se haya presentado la comunicación previa, los propietarios dispondrán del plazo establecido en las mismas para ejecutar las obras y para presentar el informe que acredite que se han realizado y que se han ejecutado conforme a la licencia de obras obtenida o la comunicación previa presentada.</w:t>
      </w:r>
    </w:p>
    <w:p>
      <w:pPr>
        <w:pStyle w:val="Normal"/>
        <w:spacing w:lineRule="auto" w:line="240"/>
        <w:ind w:left="1134" w:hanging="0"/>
        <w:rPr>
          <w:lang w:val="es-ES_tradnl"/>
        </w:rPr>
      </w:pPr>
      <w:r>
        <w:rPr>
          <w:rFonts w:cs="Noto Sans" w:ascii="Noto Sans" w:hAnsi="Noto Sans"/>
          <w:sz w:val="22"/>
          <w:szCs w:val="22"/>
          <w:lang w:val="es-ES_tradnl"/>
        </w:rPr>
        <w:t>En todo caso, las obras derivadas del informe de evaluación de edificios se realizarán bajo la dirección técnica competente.</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283"/>
        <w:rPr>
          <w:lang w:val="es-ES_tradnl"/>
        </w:rPr>
      </w:pPr>
      <w:r>
        <w:rPr>
          <w:rFonts w:cs="Noto Sans" w:ascii="Noto Sans" w:hAnsi="Noto Sans"/>
          <w:i/>
          <w:sz w:val="22"/>
          <w:szCs w:val="22"/>
          <w:lang w:val="es-ES_tradnl"/>
        </w:rPr>
        <w:t>b)</w:t>
      </w:r>
      <w:r>
        <w:rPr>
          <w:rFonts w:cs="Noto Sans" w:ascii="Noto Sans" w:hAnsi="Noto Sans"/>
          <w:sz w:val="22"/>
          <w:szCs w:val="22"/>
          <w:lang w:val="es-ES_tradnl"/>
        </w:rPr>
        <w:t xml:space="preserve"> Respecto de la accesibilidad: el técnico competente identificará las barreras arquitectónicas detectadas y propondrá, en su caso, las intervenciones necesarias para realizar los ajustes razonables para satisfacer las condiciones básicas de accesibilidad universal y no discriminación de las personas con discapacidad para el acceso al edificio y su utilización.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567" w:hanging="283"/>
        <w:rPr>
          <w:lang w:val="es-ES_tradnl"/>
        </w:rPr>
      </w:pPr>
      <w:r>
        <w:rPr>
          <w:rFonts w:cs="Noto Sans" w:ascii="Noto Sans" w:hAnsi="Noto Sans"/>
          <w:i/>
          <w:sz w:val="22"/>
          <w:szCs w:val="22"/>
          <w:lang w:val="es-ES_tradnl"/>
        </w:rPr>
        <w:t>c)</w:t>
      </w:r>
      <w:r>
        <w:rPr>
          <w:rFonts w:cs="Noto Sans" w:ascii="Noto Sans" w:hAnsi="Noto Sans"/>
          <w:sz w:val="22"/>
          <w:szCs w:val="22"/>
          <w:lang w:val="es-ES_tradnl"/>
        </w:rPr>
        <w:t xml:space="preserve"> Respecto de la certificación de la eficiencia energética: se incorporará el certificado de eficiencia energética del edificio.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Las edificaciones o partes de las mismas que se encuentren en situación de fuera de ordenación, conforme a lo indicado en el artículo 129 de la Ley 12/2017, de 29 de diciembre, de urbanismo de las Illes Balears, que requieran obras derivadas del informe de evaluación de edificios no podrán ejecutarse mientras persista la situación de fuera de ordenación, y así se hará constar en las notificaciones del ayuntamiento al interesado.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10</w:t>
      </w:r>
    </w:p>
    <w:p>
      <w:pPr>
        <w:pStyle w:val="Normal"/>
        <w:spacing w:lineRule="auto" w:line="240"/>
        <w:ind w:left="284" w:hanging="284"/>
        <w:rPr>
          <w:lang w:val="es-ES_tradnl"/>
        </w:rPr>
      </w:pPr>
      <w:r>
        <w:rPr>
          <w:rFonts w:cs="Noto Sans" w:ascii="Noto Sans" w:hAnsi="Noto Sans"/>
          <w:b/>
          <w:sz w:val="22"/>
          <w:szCs w:val="22"/>
          <w:lang w:val="es-ES_tradnl"/>
        </w:rPr>
        <w:t>Entrega y plazo de presentación</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El técnico competente entregará el informe a los propietarios del edificio mediante un archivo firmado en formato PDF y otro en formato de exportación digital que genere la aplicación informática.</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Una vez entregado el informe, los propietarios del edificio presentarán en el ayuntamiento el informe en formato digital en el plazo máximo de tres meses desde la fecha de emisión del informe. En caso de no presentar el informe en el plazo indicado, se producirá su caducidad.</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11</w:t>
      </w:r>
    </w:p>
    <w:p>
      <w:pPr>
        <w:pStyle w:val="Normal"/>
        <w:spacing w:lineRule="auto" w:line="240"/>
        <w:ind w:left="284" w:hanging="284"/>
        <w:rPr>
          <w:lang w:val="es-ES_tradnl"/>
        </w:rPr>
      </w:pPr>
      <w:r>
        <w:rPr>
          <w:rFonts w:cs="Noto Sans" w:ascii="Noto Sans" w:hAnsi="Noto Sans"/>
          <w:b/>
          <w:sz w:val="22"/>
          <w:szCs w:val="22"/>
          <w:lang w:val="es-ES_tradnl"/>
        </w:rPr>
        <w:t xml:space="preserve">Vigencia del informe de evaluación de edificios </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El informe de evaluación de edificios tendrá una vigencia de diez años desde la fecha en que haya la obligación de presentarlo al ayuntamiento.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2. Los ayuntamientos, de oficio o a instancia de parte, podrán declarar la pérdida anticipada de la vigencia del informe si circunstancias sobrevenidas así lo requieren por haber empeorado sustancialmente las condiciones de seguridad, salubridad u otras existentes en el momento de emitir el informe vigente. En este caso, los propietarios del edificio estarán obligados a subsanar las nuevas deficiencias o someterse a una nueva evaluación. </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3. Transcurrido el plazo de vigencia, la misma se entenderá prorrogada durante el plazo estrictamente necesario para realizar la nueva evaluación, que en ningún caso podrá ser superior a un año a partir del día siguiente de la pérdida de vigencia.</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Artículo 12</w:t>
      </w:r>
    </w:p>
    <w:p>
      <w:pPr>
        <w:pStyle w:val="Normal"/>
        <w:spacing w:lineRule="auto" w:line="240"/>
        <w:ind w:left="284" w:hanging="284"/>
        <w:rPr>
          <w:lang w:val="es-ES_tradnl"/>
        </w:rPr>
      </w:pPr>
      <w:r>
        <w:rPr>
          <w:rFonts w:cs="Noto Sans" w:ascii="Noto Sans" w:hAnsi="Noto Sans"/>
          <w:b/>
          <w:sz w:val="22"/>
          <w:szCs w:val="22"/>
          <w:lang w:val="es-ES_tradnl"/>
        </w:rPr>
        <w:t>Régimen sancionador</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No someter el edificio al informe de evaluación de edificios previsto en el artículo 125 de la Ley 12/2017, de 29 de diciembre, de urbanismo de las Illes Balears, cuando haya la obligación de hacerlo se considerará una infracción leve, de acuerdo con el artículo 163.2.</w:t>
      </w:r>
      <w:r>
        <w:rPr>
          <w:rFonts w:cs="Noto Sans" w:ascii="Noto Sans" w:hAnsi="Noto Sans"/>
          <w:i/>
          <w:sz w:val="22"/>
          <w:szCs w:val="22"/>
          <w:lang w:val="es-ES_tradnl"/>
        </w:rPr>
        <w:t>b</w:t>
      </w:r>
      <w:r>
        <w:rPr>
          <w:rFonts w:cs="Noto Sans" w:ascii="Noto Sans" w:hAnsi="Noto Sans"/>
          <w:sz w:val="22"/>
          <w:szCs w:val="22"/>
          <w:lang w:val="es-ES_tradnl"/>
        </w:rPr>
        <w:t>.</w:t>
      </w:r>
      <w:r>
        <w:rPr>
          <w:rFonts w:cs="Noto Sans" w:ascii="Noto Sans" w:hAnsi="Noto Sans"/>
          <w:i/>
          <w:sz w:val="22"/>
          <w:szCs w:val="22"/>
          <w:lang w:val="es-ES_tradnl"/>
        </w:rPr>
        <w:t>ii)</w:t>
      </w:r>
      <w:r>
        <w:rPr>
          <w:rFonts w:cs="Noto Sans" w:ascii="Noto Sans" w:hAnsi="Noto Sans"/>
          <w:sz w:val="22"/>
          <w:szCs w:val="22"/>
          <w:lang w:val="es-ES_tradnl"/>
        </w:rPr>
        <w:t xml:space="preserve"> de esta Ley, y tendrá una sanción de 600 a 3.000 €, de acuerdo con el artículo 174 de la misma.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En el supuesto de que los edificios tengan uso principal de vivienda, les será aplicable la Ley 5/2018, de 19 de junio, de la vivienda de las Illes Balears, en concreto el artículo 87.</w:t>
      </w:r>
      <w:r>
        <w:rPr>
          <w:rFonts w:cs="Noto Sans" w:ascii="Noto Sans" w:hAnsi="Noto Sans"/>
          <w:i/>
          <w:sz w:val="22"/>
          <w:szCs w:val="22"/>
          <w:lang w:val="es-ES_tradnl"/>
        </w:rPr>
        <w:t>y)</w:t>
      </w:r>
      <w:r>
        <w:rPr>
          <w:rFonts w:cs="Noto Sans" w:ascii="Noto Sans" w:hAnsi="Noto Sans"/>
          <w:sz w:val="22"/>
          <w:szCs w:val="22"/>
          <w:lang w:val="es-ES_tradnl"/>
        </w:rPr>
        <w:t>, que califica como infracción grave no disponer del informe de evaluación de edificios correspondiente cuando sea exigible legalmente; y el artículo 90.1.</w:t>
      </w:r>
      <w:r>
        <w:rPr>
          <w:rFonts w:cs="Noto Sans" w:ascii="Noto Sans" w:hAnsi="Noto Sans"/>
          <w:i/>
          <w:sz w:val="22"/>
          <w:szCs w:val="22"/>
          <w:lang w:val="es-ES_tradnl"/>
        </w:rPr>
        <w:t>b),</w:t>
      </w:r>
      <w:r>
        <w:rPr>
          <w:rFonts w:cs="Noto Sans" w:ascii="Noto Sans" w:hAnsi="Noto Sans"/>
          <w:sz w:val="22"/>
          <w:szCs w:val="22"/>
          <w:lang w:val="es-ES_tradnl"/>
        </w:rPr>
        <w:t xml:space="preserve"> que sanciona estas infracciones graves con una multa de 3.001 a 30.000 €.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13</w:t>
      </w:r>
    </w:p>
    <w:p>
      <w:pPr>
        <w:pStyle w:val="Normal"/>
        <w:spacing w:lineRule="auto" w:line="240"/>
        <w:ind w:left="284" w:hanging="284"/>
        <w:rPr>
          <w:lang w:val="es-ES_tradnl"/>
        </w:rPr>
      </w:pPr>
      <w:r>
        <w:rPr>
          <w:rFonts w:cs="Noto Sans" w:ascii="Noto Sans" w:hAnsi="Noto Sans"/>
          <w:b/>
          <w:sz w:val="22"/>
          <w:szCs w:val="22"/>
          <w:lang w:val="es-ES_tradnl"/>
        </w:rPr>
        <w:t>Censo de edificios</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Los ayuntamientos elaborarán un censo de los edificios que tienen que realizar el informe de evaluación de edificios el año siguiente. En este censo constará, como mínimo, la dirección del edificio, la antigüedad y los inmuebles que lo conforman, así como todos aquellos datos que puedan facilitar su identificación.</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2. El ayuntamiento, antes del 1 de octubre, publicará en el </w:t>
      </w:r>
      <w:r>
        <w:rPr>
          <w:rFonts w:cs="Noto Sans" w:ascii="Noto Sans" w:hAnsi="Noto Sans"/>
          <w:i/>
          <w:sz w:val="22"/>
          <w:szCs w:val="22"/>
          <w:lang w:val="es-ES_tradnl"/>
        </w:rPr>
        <w:t>Boletín Oficial del Estado</w:t>
      </w:r>
      <w:r>
        <w:rPr>
          <w:rFonts w:cs="Noto Sans" w:ascii="Noto Sans" w:hAnsi="Noto Sans"/>
          <w:sz w:val="22"/>
          <w:szCs w:val="22"/>
          <w:lang w:val="es-ES_tradnl"/>
        </w:rPr>
        <w:t>, en el tablón de anuncios del ayuntamiento y en su página web el censo de edificios que tienen que realizar el informe de evaluación el año siguiente. También se podrán realizar campañas informativas por los medios que cada ayuntamiento considere oportunos.</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ind w:left="284" w:hanging="284"/>
        <w:rPr>
          <w:lang w:val="es-ES_tradnl"/>
        </w:rPr>
      </w:pPr>
      <w:r>
        <w:rPr>
          <w:rFonts w:cs="Noto Sans" w:ascii="Noto Sans" w:hAnsi="Noto Sans"/>
          <w:b/>
          <w:sz w:val="22"/>
          <w:szCs w:val="22"/>
          <w:lang w:val="es-ES_tradnl"/>
        </w:rPr>
        <w:t>Capítulo III</w:t>
      </w:r>
    </w:p>
    <w:p>
      <w:pPr>
        <w:pStyle w:val="Normal"/>
        <w:keepNext w:val="true"/>
        <w:spacing w:lineRule="auto" w:line="240"/>
        <w:ind w:left="284" w:hanging="284"/>
        <w:rPr>
          <w:lang w:val="es-ES_tradnl"/>
        </w:rPr>
      </w:pPr>
      <w:r>
        <w:rPr>
          <w:rFonts w:cs="Noto Sans" w:ascii="Noto Sans" w:hAnsi="Noto Sans"/>
          <w:b/>
          <w:sz w:val="22"/>
          <w:szCs w:val="22"/>
          <w:lang w:val="es-ES_tradnl"/>
        </w:rPr>
        <w:t>Registro de informes de evaluación de edificios de las Illes Balears</w:t>
      </w:r>
    </w:p>
    <w:p>
      <w:pPr>
        <w:pStyle w:val="Normal"/>
        <w:keepNext w:val="true"/>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ind w:left="284" w:hanging="284"/>
        <w:rPr>
          <w:lang w:val="es-ES_tradnl"/>
        </w:rPr>
      </w:pPr>
      <w:r>
        <w:rPr>
          <w:rFonts w:cs="Noto Sans" w:ascii="Noto Sans" w:hAnsi="Noto Sans"/>
          <w:b/>
          <w:sz w:val="22"/>
          <w:szCs w:val="22"/>
          <w:lang w:val="es-ES_tradnl"/>
        </w:rPr>
        <w:t>Artículo 14</w:t>
      </w:r>
    </w:p>
    <w:p>
      <w:pPr>
        <w:pStyle w:val="Normal"/>
        <w:keepNext w:val="true"/>
        <w:spacing w:lineRule="auto" w:line="240"/>
        <w:ind w:left="284" w:hanging="284"/>
        <w:rPr>
          <w:lang w:val="es-ES_tradnl"/>
        </w:rPr>
      </w:pPr>
      <w:r>
        <w:rPr>
          <w:rFonts w:cs="Noto Sans" w:ascii="Noto Sans" w:hAnsi="Noto Sans"/>
          <w:b/>
          <w:sz w:val="22"/>
          <w:szCs w:val="22"/>
          <w:lang w:val="es-ES_tradnl"/>
        </w:rPr>
        <w:t>Registro de informes de evaluación de edificios</w:t>
      </w:r>
    </w:p>
    <w:p>
      <w:pPr>
        <w:pStyle w:val="Normal"/>
        <w:keepNext w:val="true"/>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ind w:left="284" w:hanging="284"/>
        <w:rPr>
          <w:lang w:val="es-ES_tradnl"/>
        </w:rPr>
      </w:pPr>
      <w:r>
        <w:rPr>
          <w:rFonts w:cs="Noto Sans" w:ascii="Noto Sans" w:hAnsi="Noto Sans"/>
          <w:sz w:val="22"/>
          <w:szCs w:val="22"/>
          <w:lang w:val="es-ES_tradnl"/>
        </w:rPr>
        <w:t>1. El Registro de informes de evaluación de edificios de las Illes Balears es un instrumento de naturaleza administrativa, de carácter público y gratuito, que tiene por objeto recopilar la información sobre el estado de conservación de los edificios de las Illes Balears.</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El Registro está adscrito a la Dirección General de Arquitectura y Rehabilitación, que es la encargada y responsable de su gestión.</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15</w:t>
      </w:r>
    </w:p>
    <w:p>
      <w:pPr>
        <w:pStyle w:val="Normal"/>
        <w:spacing w:lineRule="auto" w:line="240"/>
        <w:ind w:left="284" w:hanging="284"/>
        <w:rPr>
          <w:lang w:val="es-ES_tradnl"/>
        </w:rPr>
      </w:pPr>
      <w:r>
        <w:rPr>
          <w:rFonts w:cs="Noto Sans" w:ascii="Noto Sans" w:hAnsi="Noto Sans"/>
          <w:b/>
          <w:sz w:val="22"/>
          <w:szCs w:val="22"/>
          <w:lang w:val="es-ES_tradnl"/>
        </w:rPr>
        <w:t xml:space="preserve">Informes </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sz w:val="22"/>
          <w:szCs w:val="22"/>
          <w:lang w:val="es-ES_tradnl"/>
        </w:rPr>
        <w:t>Serán objeto de inscripción en el Registro los informes favorables así como aquellos que acrediten la realización de las correspondientes obras que deriven de la necesidad de subsanar las deficiencias observadas en el inmueble, cuando este informe sea definitivamente favorable.</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Artículo 16</w:t>
      </w:r>
    </w:p>
    <w:p>
      <w:pPr>
        <w:pStyle w:val="Normal"/>
        <w:spacing w:lineRule="auto" w:line="240"/>
        <w:rPr>
          <w:lang w:val="es-ES_tradnl"/>
        </w:rPr>
      </w:pPr>
      <w:r>
        <w:rPr>
          <w:rFonts w:cs="Noto Sans" w:ascii="Noto Sans" w:hAnsi="Noto Sans"/>
          <w:b/>
          <w:sz w:val="22"/>
          <w:szCs w:val="22"/>
          <w:lang w:val="es-ES_tradnl"/>
        </w:rPr>
        <w:t>Inscripción</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A partir de la fecha de presentación de los informes establecidos en el artículo anterior por parte de los propietarios del edificio, el ayuntamiento dispondrá de un plazo máximo de tres meses para introducirlos directamente en el Registro mediante la plataforma digital de la Consejería de Movilidad y Vivienda, siempre que el alcance y el contenido del informe sea correcto de acuerdo con los artículos 6 y 8 de este Decreto.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La inscripción en el Registro no supondrá, en ningún caso, la conformidad de la Administración con el contenido del informe, el cual se podrá comprobar posteriormente mediante control o inspección.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b/>
          <w:sz w:val="22"/>
          <w:szCs w:val="22"/>
          <w:lang w:val="es-ES_tradnl"/>
        </w:rPr>
        <w:t>Artículo 17</w:t>
      </w:r>
    </w:p>
    <w:p>
      <w:pPr>
        <w:pStyle w:val="Normal"/>
        <w:spacing w:lineRule="auto" w:line="240"/>
        <w:ind w:left="284" w:hanging="284"/>
        <w:rPr>
          <w:lang w:val="es-ES_tradnl"/>
        </w:rPr>
      </w:pPr>
      <w:r>
        <w:rPr>
          <w:rFonts w:cs="Noto Sans" w:ascii="Noto Sans" w:hAnsi="Noto Sans"/>
          <w:b/>
          <w:sz w:val="22"/>
          <w:szCs w:val="22"/>
          <w:lang w:val="es-ES_tradnl"/>
        </w:rPr>
        <w:t>Acceso</w:t>
      </w:r>
    </w:p>
    <w:p>
      <w:pPr>
        <w:pStyle w:val="Normal"/>
        <w:spacing w:lineRule="auto" w:line="240"/>
        <w:ind w:left="284" w:hanging="284"/>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Todos los ayuntamientos de las Illes Balears tendrán acceso a los informes de su término municipal.</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El Registro es público si bien tan solo se podrán consultar los siguientes datos: el año de construcción del edificio, el año en que se tiene que realizar el informe de evaluación del edificio y su estado (en plazo o no presentado).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3. Podrán consultar el resto de datos las personas interesadas que tengan un interés legítimo, previa solicitud dirigida a la Dirección General de Arquitectura y Rehabilitación.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4. El acceso a los datos contenidos en el Registro se realizará teniendo en cuenta la normativa de protección de datos de carácter personal y los límites previstos.</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ind w:left="284" w:hanging="284"/>
        <w:rPr>
          <w:lang w:val="es-ES_tradnl"/>
        </w:rPr>
      </w:pPr>
      <w:r>
        <w:rPr>
          <w:rFonts w:cs="Noto Sans" w:ascii="Noto Sans" w:hAnsi="Noto Sans"/>
          <w:b/>
          <w:sz w:val="22"/>
          <w:szCs w:val="22"/>
          <w:lang w:val="es-ES_tradnl"/>
        </w:rPr>
        <w:t>Artículo 18</w:t>
      </w:r>
    </w:p>
    <w:p>
      <w:pPr>
        <w:pStyle w:val="Normal"/>
        <w:keepNext w:val="true"/>
        <w:spacing w:lineRule="auto" w:line="240"/>
        <w:ind w:left="284" w:hanging="284"/>
        <w:rPr>
          <w:lang w:val="es-ES_tradnl"/>
        </w:rPr>
      </w:pPr>
      <w:r>
        <w:rPr>
          <w:rFonts w:cs="Noto Sans" w:ascii="Noto Sans" w:hAnsi="Noto Sans"/>
          <w:b/>
          <w:sz w:val="22"/>
          <w:szCs w:val="22"/>
          <w:lang w:val="es-ES_tradnl"/>
        </w:rPr>
        <w:t xml:space="preserve">Libro del edificio </w:t>
      </w:r>
    </w:p>
    <w:p>
      <w:pPr>
        <w:pStyle w:val="Normal"/>
        <w:keepNext w:val="true"/>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t>1. El libro del edificio de los edificios existentes objeto de este Decreto está formado por el conjunto de documentos que acreditan su estado de conservación, conteniendo las instrucciones o recomendaciones de uso y de mantenimiento que permitirán alargar su vida útil y evitar su degradación. Tiene que estar formado, como mínimo, por el informe de evaluación de edificios y el documento acreditativo de entrega a la Administración.</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0"/>
        <w:rPr>
          <w:lang w:val="es-ES_tradnl"/>
        </w:rPr>
      </w:pPr>
      <w:r>
        <w:rPr>
          <w:rFonts w:cs="Noto Sans" w:ascii="Noto Sans" w:hAnsi="Noto Sans"/>
          <w:sz w:val="22"/>
          <w:szCs w:val="22"/>
          <w:lang w:val="es-ES_tradnl"/>
        </w:rPr>
        <w:t>Se tiene que incorporar al libro toda la documentación que sea relevante para el conocimiento del estado del edificio y toda la documentación de que ya se dispone sobre el edificio y sus instalaciones.</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La obligatoriedad de la formalización del libro del edificio de los edificios existentes corresponderá a la persona propietaria, física o jurídica, o a la comunidad de propietarios en el caso de edificios en régimen de propiedad horizontal, constituyéndose a partir de la fecha de recepción del informe de evaluación de edificios que prevé este Decreto.</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 xml:space="preserve">3. La propiedad tendrá a su cargo la custodia de los documentos que forman parte del libro del edificio siendo responsable de su actualización, mediante las inscripciones oportunas, y del archivo de la documentación, cuando corresponda. La propiedad podrá delegar esta custodia y archivo en un administrador, siempre que conste el documento de autorización de esta delegación. Se admitirán los formatos electrónicos del libro de edificio. </w:t>
      </w:r>
    </w:p>
    <w:p>
      <w:pPr>
        <w:pStyle w:val="Normal"/>
        <w:spacing w:lineRule="auto" w:line="240"/>
        <w:ind w:left="284" w:hanging="284"/>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Disposición adicional primera</w:t>
      </w:r>
    </w:p>
    <w:p>
      <w:pPr>
        <w:pStyle w:val="Normal"/>
        <w:keepNext w:val="true"/>
        <w:spacing w:lineRule="auto" w:line="240"/>
        <w:rPr>
          <w:lang w:val="es-ES_tradnl"/>
        </w:rPr>
      </w:pPr>
      <w:r>
        <w:rPr>
          <w:rFonts w:cs="Noto Sans" w:ascii="Noto Sans" w:hAnsi="Noto Sans"/>
          <w:b/>
          <w:sz w:val="22"/>
          <w:szCs w:val="22"/>
          <w:lang w:val="es-ES_tradnl"/>
        </w:rPr>
        <w:t>Convenios</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rPr>
          <w:lang w:val="es-ES_tradnl"/>
        </w:rPr>
      </w:pPr>
      <w:r>
        <w:rPr>
          <w:rFonts w:cs="Noto Sans" w:ascii="Noto Sans" w:hAnsi="Noto Sans"/>
          <w:sz w:val="22"/>
          <w:szCs w:val="22"/>
          <w:lang w:val="es-ES_tradnl"/>
        </w:rPr>
        <w:t>Para impulsar y agilizar las inspecciones, sobre todo en aquellos municipios en que por sus dimensiones no tengan capacidad para su gestión, las administraciones competentes podrán firmar convenios de colaboración con los colegios y asociaciones profesionales vinculados a la edificación.</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t>Disposición adicional segunda</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t xml:space="preserve">Promoción </w:t>
      </w:r>
    </w:p>
    <w:p>
      <w:pPr>
        <w:pStyle w:val="Normal"/>
        <w:spacing w:lineRule="auto" w:line="240"/>
        <w:rPr>
          <w:lang w:val="es-ES_tradnl"/>
        </w:rPr>
      </w:pPr>
      <w:r>
        <w:rPr>
          <w:lang w:val="es-ES_tradnl"/>
        </w:rPr>
      </w:r>
    </w:p>
    <w:p>
      <w:pPr>
        <w:pStyle w:val="Normal"/>
        <w:spacing w:lineRule="auto" w:line="240"/>
        <w:rPr>
          <w:lang w:val="es-ES_tradnl"/>
        </w:rPr>
      </w:pPr>
      <w:r>
        <w:rPr>
          <w:rFonts w:cs="Noto Sans" w:ascii="Noto Sans" w:hAnsi="Noto Sans"/>
          <w:sz w:val="22"/>
          <w:szCs w:val="22"/>
          <w:lang w:val="es-ES_tradnl"/>
        </w:rPr>
        <w:t>En el marco de sus disponibilidades presupuestarias, las administraciones públicas podrán establecer las ayudas y mecanismos destinados a impulsar y facilitar la implantación, generalización y realización del informe de evaluación del edificio.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Disposición transitoria primera</w:t>
      </w:r>
    </w:p>
    <w:p>
      <w:pPr>
        <w:pStyle w:val="Normal"/>
        <w:keepNext w:val="true"/>
        <w:spacing w:lineRule="auto" w:line="240"/>
        <w:rPr>
          <w:lang w:val="es-ES_tradnl"/>
        </w:rPr>
      </w:pPr>
      <w:r>
        <w:rPr>
          <w:rFonts w:cs="Noto Sans" w:ascii="Noto Sans" w:hAnsi="Noto Sans"/>
          <w:b/>
          <w:sz w:val="22"/>
          <w:szCs w:val="22"/>
          <w:lang w:val="es-ES_tradnl"/>
        </w:rPr>
        <w:t>Calendario</w:t>
      </w:r>
    </w:p>
    <w:p>
      <w:pPr>
        <w:pStyle w:val="Normal"/>
        <w:keepNext w:val="true"/>
        <w:spacing w:lineRule="auto" w:line="240"/>
        <w:rPr>
          <w:rFonts w:ascii="Noto Sans" w:hAnsi="Noto Sans" w:cs="Noto Sans"/>
          <w:b/>
          <w:b/>
          <w:dstrike/>
          <w:sz w:val="22"/>
          <w:szCs w:val="22"/>
          <w:lang w:val="es-ES_tradnl"/>
        </w:rPr>
      </w:pPr>
      <w:r>
        <w:rPr>
          <w:rFonts w:cs="Noto Sans" w:ascii="Noto Sans" w:hAnsi="Noto Sans"/>
          <w:b/>
          <w:dstrike/>
          <w:sz w:val="22"/>
          <w:szCs w:val="22"/>
          <w:lang w:val="es-ES_tradnl"/>
        </w:rPr>
      </w:r>
    </w:p>
    <w:p>
      <w:pPr>
        <w:pStyle w:val="Normal"/>
        <w:keepNext w:val="true"/>
        <w:spacing w:before="0" w:after="0"/>
        <w:contextualSpacing/>
        <w:rPr>
          <w:lang w:val="es-ES_tradnl"/>
        </w:rPr>
      </w:pPr>
      <w:r>
        <w:rPr>
          <w:rFonts w:cs="Noto Sans" w:ascii="Noto Sans" w:hAnsi="Noto Sans"/>
          <w:sz w:val="22"/>
          <w:lang w:val="es-ES_tradnl"/>
        </w:rPr>
        <w:t>De acuerdo con el artículo 125.1 de la Ley 12/2017,</w:t>
      </w:r>
      <w:r>
        <w:rPr>
          <w:rFonts w:cs="Noto Sans" w:ascii="Noto Sans" w:hAnsi="Noto Sans"/>
          <w:sz w:val="22"/>
          <w:szCs w:val="22"/>
          <w:lang w:val="es-ES_tradnl"/>
        </w:rPr>
        <w:t xml:space="preserve"> de 29 de diciembre, de urbanismo de las Illes Balears, </w:t>
      </w:r>
      <w:r>
        <w:rPr>
          <w:rFonts w:cs="Noto Sans" w:ascii="Noto Sans" w:hAnsi="Noto Sans"/>
          <w:sz w:val="22"/>
          <w:lang w:val="es-ES_tradnl"/>
        </w:rPr>
        <w:t>y con relación a la antigüedad de los edificios establecida a efectos de presentar el informe de evaluación de edificios, las administraciones locales en el ámbito de sus competencias podrán establecer un calendario transitorio con objeto de adaptarse lo antes posible a esta Ley y a la vez poder realizar una correcta y eficiente gestión. En todo caso, se establece un plazo máximo para esta adaptación y deberán que tener el informe de evaluación de edificios todos los edificios de más de treinta años de antigüedad en 2025.</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bCs/>
          <w:sz w:val="22"/>
          <w:szCs w:val="22"/>
          <w:lang w:val="es-ES_tradnl"/>
        </w:rPr>
        <w:t>Disposición transitoria segunda</w:t>
      </w:r>
    </w:p>
    <w:p>
      <w:pPr>
        <w:pStyle w:val="Normal"/>
        <w:spacing w:lineRule="auto" w:line="240"/>
        <w:rPr>
          <w:lang w:val="es-ES_tradnl"/>
        </w:rPr>
      </w:pPr>
      <w:r>
        <w:rPr>
          <w:rFonts w:cs="Noto Sans" w:ascii="Noto Sans" w:hAnsi="Noto Sans"/>
          <w:b/>
          <w:sz w:val="22"/>
          <w:szCs w:val="22"/>
          <w:lang w:val="es-ES_tradnl"/>
        </w:rPr>
        <w:t xml:space="preserve">Edificios con informe de inspección técnica </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1. Los edificios que, a la entrada en vigor de este Decreto, ya dispongan de un informe de inspección técnica o de un instrumento análogo que incluya todos los aspectos que forman parte del modelo normalizado establecido, y siempre que esté subscrito por un técnico competente y se haya formalizado y tramitado de acuerdo con lo que establece la normativa que le sea de aplicación, no estarán obligados a realizar el informe durante el periodo de vigencia de la inspección, siempre que este plazo sea igual o inferior a diez años.</w:t>
      </w:r>
    </w:p>
    <w:p>
      <w:pPr>
        <w:pStyle w:val="Normal"/>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ind w:left="284" w:hanging="284"/>
        <w:rPr>
          <w:lang w:val="es-ES_tradnl"/>
        </w:rPr>
      </w:pPr>
      <w:r>
        <w:rPr>
          <w:rFonts w:cs="Noto Sans" w:ascii="Noto Sans" w:hAnsi="Noto Sans"/>
          <w:sz w:val="22"/>
          <w:szCs w:val="22"/>
          <w:lang w:val="es-ES_tradnl"/>
        </w:rPr>
        <w:t>2. En caso de que el periodo de vigencia sea superior, estarán obligados a realizar el informe en el plazo de diez años desde la fecha de suscripción de la inspección técnica.</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Disposición transitoria tercera</w:t>
      </w:r>
    </w:p>
    <w:p>
      <w:pPr>
        <w:pStyle w:val="Normal"/>
        <w:spacing w:lineRule="auto" w:line="240"/>
        <w:rPr>
          <w:lang w:val="es-ES_tradnl"/>
        </w:rPr>
      </w:pPr>
      <w:r>
        <w:rPr>
          <w:rFonts w:cs="Noto Sans" w:ascii="Noto Sans" w:hAnsi="Noto Sans"/>
          <w:b/>
          <w:sz w:val="22"/>
          <w:szCs w:val="22"/>
          <w:lang w:val="es-ES_tradnl"/>
        </w:rPr>
        <w:t>Plazo transitorio</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sz w:val="22"/>
          <w:szCs w:val="22"/>
          <w:lang w:val="es-ES_tradnl"/>
        </w:rPr>
        <w:t>Se establece un plazo transitorio de entrada en vigor de seis meses para aquellos municipios que ya disponen de ordenanzas en vigor para que se puedan adaptar a lo que dispone este Decreto.</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Disposición transitoria cuarta</w:t>
      </w:r>
    </w:p>
    <w:p>
      <w:pPr>
        <w:pStyle w:val="Normal"/>
        <w:keepNext w:val="true"/>
        <w:spacing w:lineRule="auto" w:line="240"/>
        <w:rPr>
          <w:lang w:val="es-ES_tradnl"/>
        </w:rPr>
      </w:pPr>
      <w:r>
        <w:rPr>
          <w:rFonts w:cs="Noto Sans" w:ascii="Noto Sans" w:hAnsi="Noto Sans"/>
          <w:b/>
          <w:sz w:val="22"/>
          <w:szCs w:val="22"/>
          <w:lang w:val="es-ES_tradnl"/>
        </w:rPr>
        <w:t>Plataforma digital y comunicación</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rPr>
          <w:lang w:val="es-ES_tradnl"/>
        </w:rPr>
      </w:pPr>
      <w:r>
        <w:rPr>
          <w:rFonts w:cs="Noto Sans" w:ascii="Noto Sans" w:hAnsi="Noto Sans"/>
          <w:sz w:val="22"/>
          <w:szCs w:val="22"/>
          <w:lang w:val="es-ES_tradnl"/>
        </w:rPr>
        <w:t xml:space="preserve">Se establece un plazo transitorio de seis meses para que todos los ayuntamientos de las Illes Balears accedan a la plataforma digital del Registro de informes de evaluación de edificios y puedan iniciar el registro directamente, de acuerdo con lo que establece el artículo 16 de este Decreto.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Disposición transitoria quinta</w:t>
      </w:r>
    </w:p>
    <w:p>
      <w:pPr>
        <w:pStyle w:val="Normal"/>
        <w:keepNext w:val="true"/>
        <w:spacing w:lineRule="auto" w:line="240"/>
        <w:rPr>
          <w:lang w:val="es-ES_tradnl"/>
        </w:rPr>
      </w:pPr>
      <w:r>
        <w:rPr>
          <w:rFonts w:cs="Noto Sans" w:ascii="Noto Sans" w:hAnsi="Noto Sans"/>
          <w:b/>
          <w:sz w:val="22"/>
          <w:szCs w:val="22"/>
          <w:lang w:val="es-ES_tradnl"/>
        </w:rPr>
        <w:t>Modelo normalizado</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rPr>
          <w:lang w:val="es-ES_tradnl"/>
        </w:rPr>
      </w:pPr>
      <w:r>
        <w:rPr>
          <w:rFonts w:cs="Noto Sans" w:ascii="Noto Sans" w:hAnsi="Noto Sans"/>
          <w:sz w:val="22"/>
          <w:szCs w:val="22"/>
          <w:lang w:val="es-ES_tradnl"/>
        </w:rPr>
        <w:t>La Consejería de Movilidad y Vivienda tiene que crear un modelo normalizado así como una aplicación informática en el plazo máximo de seis meses desde que entre en vigor este Decreto. Mientras no esté en vigor, se utilizará el modelo establecido en el anexo 2 del Real Decreto 233/2013, de 5 de abril, por el que se regula el Plan Estatal de Fomento del Alquiler de Viviendas, la Rehabilitación Edificatoria, y la Regeneración y Renovación Urbanas, 2013-2016.</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Disposición derogatoria única</w:t>
      </w:r>
    </w:p>
    <w:p>
      <w:pPr>
        <w:pStyle w:val="Normal"/>
        <w:spacing w:lineRule="auto" w:line="240"/>
        <w:rPr>
          <w:lang w:val="es-ES_tradnl"/>
        </w:rPr>
      </w:pPr>
      <w:r>
        <w:rPr>
          <w:rFonts w:cs="Noto Sans" w:ascii="Noto Sans" w:hAnsi="Noto Sans"/>
          <w:b/>
          <w:sz w:val="22"/>
          <w:szCs w:val="22"/>
          <w:lang w:val="es-ES_tradnl"/>
        </w:rPr>
        <w:t>Derogación</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sz w:val="22"/>
          <w:szCs w:val="22"/>
          <w:lang w:val="es-ES_tradnl"/>
        </w:rPr>
        <w:t xml:space="preserve">Queda derogado el Decreto 17/2016, de 8 de abril, por el que se crea y regula el Registro de informes de evaluación de edificios de las Illes Balears, así como todas las disposiciones de igual o inferior rango que se opongan a lo que dispone este Decreto.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spacing w:lineRule="auto" w:line="240"/>
        <w:rPr>
          <w:lang w:val="es-ES_tradnl"/>
        </w:rPr>
      </w:pPr>
      <w:r>
        <w:rPr>
          <w:rFonts w:cs="Noto Sans" w:ascii="Noto Sans" w:hAnsi="Noto Sans"/>
          <w:b/>
          <w:sz w:val="22"/>
          <w:szCs w:val="22"/>
          <w:lang w:val="es-ES_tradnl"/>
        </w:rPr>
        <w:t>Disposición final primera</w:t>
      </w:r>
    </w:p>
    <w:p>
      <w:pPr>
        <w:pStyle w:val="Normal"/>
        <w:spacing w:lineRule="auto" w:line="240"/>
        <w:rPr>
          <w:lang w:val="es-ES_tradnl"/>
        </w:rPr>
      </w:pPr>
      <w:r>
        <w:rPr>
          <w:rFonts w:cs="Noto Sans" w:ascii="Noto Sans" w:hAnsi="Noto Sans"/>
          <w:b/>
          <w:sz w:val="22"/>
          <w:szCs w:val="22"/>
          <w:lang w:val="es-ES_tradnl"/>
        </w:rPr>
        <w:t>Desarrollo</w:t>
      </w:r>
    </w:p>
    <w:p>
      <w:pPr>
        <w:pStyle w:val="Normal"/>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spacing w:lineRule="auto" w:line="240"/>
        <w:rPr>
          <w:lang w:val="es-ES_tradnl"/>
        </w:rPr>
      </w:pPr>
      <w:r>
        <w:rPr>
          <w:rFonts w:cs="Noto Sans" w:ascii="Noto Sans" w:hAnsi="Noto Sans"/>
          <w:sz w:val="22"/>
          <w:szCs w:val="22"/>
          <w:lang w:val="es-ES_tradnl"/>
        </w:rPr>
        <w:t xml:space="preserve">Se faculta al consejero de Movilidad y Vivienda para dictar las disposiciones que sean necesarias para el desarrollo y ejecución de este Decreto. </w:t>
      </w:r>
    </w:p>
    <w:p>
      <w:pPr>
        <w:pStyle w:val="Normal"/>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keepNext w:val="true"/>
        <w:spacing w:lineRule="auto" w:line="240"/>
        <w:rPr>
          <w:lang w:val="es-ES_tradnl"/>
        </w:rPr>
      </w:pPr>
      <w:r>
        <w:rPr>
          <w:rFonts w:cs="Noto Sans" w:ascii="Noto Sans" w:hAnsi="Noto Sans"/>
          <w:b/>
          <w:sz w:val="22"/>
          <w:szCs w:val="22"/>
          <w:lang w:val="es-ES_tradnl"/>
        </w:rPr>
        <w:t>Disposición final segunda</w:t>
      </w:r>
    </w:p>
    <w:p>
      <w:pPr>
        <w:pStyle w:val="Normal"/>
        <w:keepNext w:val="true"/>
        <w:spacing w:lineRule="auto" w:line="240"/>
        <w:rPr>
          <w:lang w:val="es-ES_tradnl"/>
        </w:rPr>
      </w:pPr>
      <w:r>
        <w:rPr>
          <w:rFonts w:cs="Noto Sans" w:ascii="Noto Sans" w:hAnsi="Noto Sans"/>
          <w:b/>
          <w:sz w:val="22"/>
          <w:szCs w:val="22"/>
          <w:lang w:val="es-ES_tradnl"/>
        </w:rPr>
        <w:t>Entrada en vigor</w:t>
      </w:r>
    </w:p>
    <w:p>
      <w:pPr>
        <w:pStyle w:val="Normal"/>
        <w:keepNext w:val="true"/>
        <w:spacing w:lineRule="auto" w:line="240"/>
        <w:rPr>
          <w:rFonts w:ascii="Noto Sans" w:hAnsi="Noto Sans" w:cs="Noto Sans"/>
          <w:b/>
          <w:b/>
          <w:sz w:val="22"/>
          <w:szCs w:val="22"/>
          <w:lang w:val="es-ES_tradnl"/>
        </w:rPr>
      </w:pPr>
      <w:r>
        <w:rPr>
          <w:rFonts w:cs="Noto Sans" w:ascii="Noto Sans" w:hAnsi="Noto Sans"/>
          <w:b/>
          <w:sz w:val="22"/>
          <w:szCs w:val="22"/>
          <w:lang w:val="es-ES_tradnl"/>
        </w:rPr>
      </w:r>
    </w:p>
    <w:p>
      <w:pPr>
        <w:pStyle w:val="Normal"/>
        <w:keepNext w:val="true"/>
        <w:spacing w:lineRule="auto" w:line="240"/>
        <w:rPr>
          <w:lang w:val="es-ES_tradnl"/>
        </w:rPr>
      </w:pPr>
      <w:r>
        <w:rPr>
          <w:rFonts w:cs="Noto Sans" w:ascii="Noto Sans" w:hAnsi="Noto Sans"/>
          <w:bCs/>
          <w:iCs/>
          <w:sz w:val="22"/>
          <w:szCs w:val="22"/>
          <w:lang w:val="es-ES_tradnl"/>
        </w:rPr>
        <w:t xml:space="preserve">Este Decreto entrará en vigor el día siguiente al de su publicación en el </w:t>
      </w:r>
      <w:r>
        <w:rPr>
          <w:rFonts w:cs="Noto Sans" w:ascii="Noto Sans" w:hAnsi="Noto Sans"/>
          <w:bCs/>
          <w:i/>
          <w:iCs/>
          <w:sz w:val="22"/>
          <w:szCs w:val="22"/>
          <w:lang w:val="es-ES_tradnl"/>
        </w:rPr>
        <w:t>Boletín Oficial de las Illes Balears</w:t>
      </w:r>
      <w:r>
        <w:rPr>
          <w:rFonts w:cs="Noto Sans" w:ascii="Noto Sans" w:hAnsi="Noto Sans"/>
          <w:bCs/>
          <w:iCs/>
          <w:sz w:val="22"/>
          <w:szCs w:val="22"/>
          <w:lang w:val="es-ES_tradnl"/>
        </w:rPr>
        <w:t>.</w:t>
      </w:r>
    </w:p>
    <w:p>
      <w:pPr>
        <w:pStyle w:val="Normal"/>
        <w:spacing w:lineRule="auto" w:line="240"/>
        <w:rPr>
          <w:rFonts w:ascii="Noto Sans" w:hAnsi="Noto Sans" w:cs="Noto Sans"/>
          <w:bCs/>
          <w:iCs/>
          <w:sz w:val="22"/>
          <w:szCs w:val="22"/>
          <w:lang w:val="es-ES_tradnl"/>
        </w:rPr>
      </w:pPr>
      <w:r>
        <w:rPr>
          <w:rFonts w:cs="Noto Sans" w:ascii="Noto Sans" w:hAnsi="Noto Sans"/>
          <w:bCs/>
          <w:iCs/>
          <w:sz w:val="22"/>
          <w:szCs w:val="22"/>
          <w:lang w:val="es-ES_tradnl"/>
        </w:rPr>
      </w:r>
    </w:p>
    <w:p>
      <w:pPr>
        <w:pStyle w:val="Normal"/>
        <w:spacing w:lineRule="auto" w:line="240"/>
        <w:rPr>
          <w:lang w:val="es-ES_tradnl"/>
        </w:rPr>
      </w:pPr>
      <w:r>
        <w:rPr>
          <w:rFonts w:cs="Noto Sans" w:ascii="Noto Sans" w:hAnsi="Noto Sans"/>
          <w:sz w:val="22"/>
          <w:szCs w:val="22"/>
          <w:lang w:val="es-ES_tradnl"/>
        </w:rPr>
        <w:t xml:space="preserve">Palma, </w:t>
      </w:r>
    </w:p>
    <w:p>
      <w:pPr>
        <w:pStyle w:val="Normal"/>
        <w:tabs>
          <w:tab w:val="clear" w:pos="708"/>
          <w:tab w:val="left" w:pos="4536"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536" w:leader="none"/>
        </w:tabs>
        <w:spacing w:lineRule="auto" w:line="240"/>
        <w:rPr>
          <w:lang w:val="es-ES_tradnl"/>
        </w:rPr>
      </w:pPr>
      <w:r>
        <w:rPr>
          <w:rFonts w:cs="Noto Sans" w:ascii="Noto Sans" w:hAnsi="Noto Sans"/>
          <w:sz w:val="22"/>
          <w:szCs w:val="22"/>
          <w:lang w:val="es-ES_tradnl"/>
        </w:rPr>
        <w:tab/>
        <w:t>La presidenta</w:t>
      </w:r>
    </w:p>
    <w:p>
      <w:pPr>
        <w:pStyle w:val="Normal"/>
        <w:tabs>
          <w:tab w:val="clear" w:pos="708"/>
          <w:tab w:val="left" w:pos="4820"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820"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820" w:leader="none"/>
        </w:tabs>
        <w:spacing w:lineRule="auto" w:line="240"/>
        <w:rPr>
          <w:lang w:val="es-ES_tradnl"/>
        </w:rPr>
      </w:pPr>
      <w:r>
        <w:rPr>
          <w:rFonts w:cs="Noto Sans" w:ascii="Noto Sans" w:hAnsi="Noto Sans"/>
          <w:sz w:val="22"/>
          <w:szCs w:val="22"/>
          <w:lang w:val="es-ES_tradnl"/>
        </w:rPr>
        <w:t xml:space="preserve">El consejero de Movilidad y </w:t>
      </w:r>
    </w:p>
    <w:p>
      <w:pPr>
        <w:pStyle w:val="Normal"/>
        <w:tabs>
          <w:tab w:val="clear" w:pos="708"/>
          <w:tab w:val="left" w:pos="4820" w:leader="none"/>
        </w:tabs>
        <w:spacing w:lineRule="auto" w:line="240"/>
        <w:rPr>
          <w:lang w:val="es-ES_tradnl"/>
        </w:rPr>
      </w:pPr>
      <w:r>
        <w:rPr>
          <w:rFonts w:cs="Noto Sans" w:ascii="Noto Sans" w:hAnsi="Noto Sans"/>
          <w:sz w:val="22"/>
          <w:szCs w:val="22"/>
          <w:lang w:val="es-ES_tradnl"/>
        </w:rPr>
        <w:t>Vivienda</w:t>
      </w:r>
    </w:p>
    <w:p>
      <w:pPr>
        <w:pStyle w:val="Normal"/>
        <w:tabs>
          <w:tab w:val="clear" w:pos="708"/>
          <w:tab w:val="left" w:pos="4536" w:leader="none"/>
        </w:tabs>
        <w:spacing w:lineRule="auto" w:line="240"/>
        <w:rPr>
          <w:lang w:val="es-ES_tradnl"/>
        </w:rPr>
      </w:pPr>
      <w:r>
        <w:rPr>
          <w:rFonts w:cs="Noto Sans" w:ascii="Noto Sans" w:hAnsi="Noto Sans"/>
          <w:sz w:val="22"/>
          <w:szCs w:val="22"/>
          <w:lang w:val="es-ES_tradnl"/>
        </w:rPr>
        <w:tab/>
        <w:t>Francesca Lluch Armengol i Socias</w:t>
      </w:r>
    </w:p>
    <w:p>
      <w:pPr>
        <w:pStyle w:val="Normal"/>
        <w:tabs>
          <w:tab w:val="clear" w:pos="708"/>
          <w:tab w:val="left" w:pos="4820"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820"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820" w:leader="none"/>
        </w:tabs>
        <w:spacing w:lineRule="auto" w:line="240"/>
        <w:rPr>
          <w:rFonts w:ascii="Noto Sans" w:hAnsi="Noto Sans" w:cs="Noto Sans"/>
          <w:sz w:val="22"/>
          <w:szCs w:val="22"/>
          <w:lang w:val="es-ES_tradnl"/>
        </w:rPr>
      </w:pPr>
      <w:r>
        <w:rPr>
          <w:rFonts w:cs="Noto Sans" w:ascii="Noto Sans" w:hAnsi="Noto Sans"/>
          <w:sz w:val="22"/>
          <w:szCs w:val="22"/>
          <w:lang w:val="es-ES_tradnl"/>
        </w:rPr>
      </w:r>
    </w:p>
    <w:p>
      <w:pPr>
        <w:pStyle w:val="Normal"/>
        <w:tabs>
          <w:tab w:val="clear" w:pos="708"/>
          <w:tab w:val="left" w:pos="4820" w:leader="none"/>
        </w:tabs>
        <w:spacing w:lineRule="auto" w:line="240"/>
        <w:rPr>
          <w:lang w:val="es-ES_tradnl"/>
        </w:rPr>
      </w:pPr>
      <w:r>
        <w:rPr>
          <w:rFonts w:cs="Noto Sans" w:ascii="Noto Sans" w:hAnsi="Noto Sans"/>
          <w:sz w:val="22"/>
          <w:szCs w:val="22"/>
          <w:lang w:val="es-ES_tradnl"/>
        </w:rPr>
        <w:t>Marc Pons i Pons</w:t>
      </w:r>
    </w:p>
    <w:p>
      <w:pPr>
        <w:pStyle w:val="Normal"/>
        <w:rPr>
          <w:lang w:val="es-ES_tradnl"/>
        </w:rPr>
      </w:pPr>
      <w:r>
        <w:rPr>
          <w:lang w:val="es-ES_tradnl"/>
        </w:rPr>
      </w:r>
    </w:p>
    <w:p>
      <w:pPr>
        <w:pStyle w:val="Normal"/>
        <w:rPr/>
      </w:pPr>
      <w:r>
        <w:rPr/>
      </w:r>
    </w:p>
    <w:sectPr>
      <w:headerReference w:type="default" r:id="rId2"/>
      <w:headerReference w:type="first" r:id="rId3"/>
      <w:footerReference w:type="default" r:id="rId4"/>
      <w:footerReference w:type="first" r:id="rId5"/>
      <w:type w:val="nextPage"/>
      <w:pgSz w:w="11906" w:h="16838"/>
      <w:pgMar w:left="2552" w:right="851" w:header="709" w:top="1276" w:footer="709" w:bottom="1701"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egacySanITCBoo">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2723"/>
      <w:gridCol w:w="4589"/>
      <w:gridCol w:w="2724"/>
    </w:tblGrid>
    <w:tr>
      <w:trPr>
        <w:trHeight w:val="1140" w:hRule="atLeast"/>
      </w:trPr>
      <w:tc>
        <w:tcPr>
          <w:tcW w:w="2723" w:type="dxa"/>
          <w:tcBorders/>
          <w:shd w:fill="auto" w:val="clear"/>
          <w:vAlign w:val="bottom"/>
        </w:tcPr>
        <w:p>
          <w:pPr>
            <w:pStyle w:val="Peudepgina"/>
            <w:suppressAutoHyphens w:val="false"/>
            <w:rPr>
              <w:rFonts w:ascii="Noto Sans" w:hAnsi="Noto Sans" w:cs="Noto Sans"/>
              <w:lang w:val="ca-ES"/>
            </w:rPr>
          </w:pPr>
          <w:r>
            <w:rPr>
              <w:rFonts w:cs="Noto Sans" w:ascii="Noto Sans" w:hAnsi="Noto Sans"/>
              <w:lang w:val="ca-ES"/>
            </w:rPr>
            <w:t>C/ de la Palma, 4</w:t>
          </w:r>
        </w:p>
        <w:p>
          <w:pPr>
            <w:pStyle w:val="Peudepgina"/>
            <w:suppressAutoHyphens w:val="false"/>
            <w:rPr>
              <w:rFonts w:ascii="Noto Sans" w:hAnsi="Noto Sans" w:cs="Noto Sans"/>
              <w:lang w:val="ca-ES"/>
            </w:rPr>
          </w:pPr>
          <w:r>
            <w:rPr>
              <w:rFonts w:cs="Noto Sans" w:ascii="Noto Sans" w:hAnsi="Noto Sans"/>
              <w:lang w:val="ca-ES"/>
            </w:rPr>
            <w:t>07003 Palma</w:t>
          </w:r>
        </w:p>
        <w:p>
          <w:pPr>
            <w:pStyle w:val="Peudepgina"/>
            <w:suppressAutoHyphens w:val="false"/>
            <w:rPr>
              <w:rFonts w:ascii="Noto Sans" w:hAnsi="Noto Sans" w:cs="Noto Sans"/>
              <w:lang w:val="ca-ES"/>
            </w:rPr>
          </w:pPr>
          <w:r>
            <w:rPr>
              <w:rFonts w:cs="Noto Sans" w:ascii="Noto Sans" w:hAnsi="Noto Sans"/>
              <w:lang w:val="ca-ES"/>
            </w:rPr>
            <w:t>Tel. 971 17 73 00</w:t>
          </w:r>
        </w:p>
        <w:p>
          <w:pPr>
            <w:pStyle w:val="Peudepgina"/>
            <w:suppressAutoHyphens w:val="false"/>
            <w:rPr>
              <w:rFonts w:ascii="Noto Sans" w:hAnsi="Noto Sans" w:cs="Noto Sans"/>
            </w:rPr>
          </w:pPr>
          <w:r>
            <w:rPr>
              <w:rFonts w:cs="Noto Sans" w:ascii="Noto Sans" w:hAnsi="Noto Sans"/>
            </w:rPr>
          </w:r>
        </w:p>
      </w:tc>
      <w:tc>
        <w:tcPr>
          <w:tcW w:w="4589" w:type="dxa"/>
          <w:tcBorders/>
          <w:shd w:fill="auto" w:val="clear"/>
        </w:tcPr>
        <w:p>
          <w:pPr>
            <w:pStyle w:val="Peudepgina"/>
            <w:suppressAutoHyphens w:val="false"/>
            <w:jc w:val="center"/>
            <w:rPr>
              <w:rFonts w:ascii="Noto Sans" w:hAnsi="Noto Sans" w:cs="Noto Sans"/>
            </w:rPr>
          </w:pPr>
          <w:r>
            <w:rPr>
              <w:rFonts w:cs="Noto Sans" w:ascii="Noto Sans" w:hAnsi="Noto Sans"/>
            </w:rPr>
          </w:r>
        </w:p>
      </w:tc>
      <w:tc>
        <w:tcPr>
          <w:tcW w:w="2724" w:type="dxa"/>
          <w:tcBorders/>
          <w:shd w:fill="auto" w:val="clear"/>
          <w:vAlign w:val="bottom"/>
        </w:tcPr>
        <w:p>
          <w:pPr>
            <w:pStyle w:val="Nmerodepgina"/>
            <w:suppressAutoHyphens w:val="false"/>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16</w:t>
          </w:r>
          <w:r>
            <w:rPr>
              <w:rFonts w:cs="Noto Sans" w:ascii="Noto Sans" w:hAnsi="Noto Sans"/>
            </w:rPr>
            <w:fldChar w:fldCharType="end"/>
          </w:r>
        </w:p>
      </w:tc>
    </w:tr>
  </w:tbl>
  <w:p>
    <w:pPr>
      <w:pStyle w:val="Peudepgina"/>
      <w:rPr>
        <w:rFonts w:cs="Noto Sans"/>
        <w:sz w:val="15"/>
        <w:szCs w:val="15"/>
      </w:rPr>
    </w:pPr>
    <w:r>
      <w:rPr>
        <w:rFonts w:cs="Noto Sans"/>
        <w:sz w:val="15"/>
        <w:szCs w:val="15"/>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2723"/>
      <w:gridCol w:w="4589"/>
      <w:gridCol w:w="2724"/>
    </w:tblGrid>
    <w:tr>
      <w:trPr>
        <w:trHeight w:val="1140" w:hRule="atLeast"/>
      </w:trPr>
      <w:tc>
        <w:tcPr>
          <w:tcW w:w="2723" w:type="dxa"/>
          <w:tcBorders/>
          <w:shd w:fill="auto" w:val="clear"/>
          <w:vAlign w:val="bottom"/>
        </w:tcPr>
        <w:p>
          <w:pPr>
            <w:pStyle w:val="Peudepgina"/>
            <w:suppressAutoHyphens w:val="false"/>
            <w:rPr>
              <w:rFonts w:ascii="Noto Sans" w:hAnsi="Noto Sans" w:cs="Noto Sans"/>
              <w:lang w:val="ca-ES"/>
            </w:rPr>
          </w:pPr>
          <w:r>
            <w:rPr>
              <w:rFonts w:cs="Noto Sans" w:ascii="Noto Sans" w:hAnsi="Noto Sans"/>
              <w:lang w:val="ca-ES"/>
            </w:rPr>
            <w:t>C/ de la Palma</w:t>
          </w:r>
        </w:p>
        <w:p>
          <w:pPr>
            <w:pStyle w:val="Peudepgina"/>
            <w:suppressAutoHyphens w:val="false"/>
            <w:rPr>
              <w:rFonts w:ascii="Noto Sans" w:hAnsi="Noto Sans" w:cs="Noto Sans"/>
              <w:lang w:val="ca-ES"/>
            </w:rPr>
          </w:pPr>
          <w:r>
            <w:rPr>
              <w:rFonts w:cs="Noto Sans" w:ascii="Noto Sans" w:hAnsi="Noto Sans"/>
              <w:lang w:val="ca-ES"/>
            </w:rPr>
            <w:t>07003 Palma</w:t>
          </w:r>
        </w:p>
        <w:p>
          <w:pPr>
            <w:pStyle w:val="Peudepgina"/>
            <w:suppressAutoHyphens w:val="false"/>
            <w:rPr>
              <w:rFonts w:ascii="Noto Sans" w:hAnsi="Noto Sans" w:cs="Noto Sans"/>
              <w:lang w:val="ca-ES"/>
            </w:rPr>
          </w:pPr>
          <w:r>
            <w:rPr>
              <w:rFonts w:cs="Noto Sans" w:ascii="Noto Sans" w:hAnsi="Noto Sans"/>
              <w:lang w:val="ca-ES"/>
            </w:rPr>
            <w:t>Tel. 971 1773 00</w:t>
          </w:r>
        </w:p>
        <w:p>
          <w:pPr>
            <w:pStyle w:val="Peudepgina"/>
            <w:suppressAutoHyphens w:val="false"/>
            <w:rPr>
              <w:rFonts w:ascii="Noto Sans" w:hAnsi="Noto Sans" w:cs="Noto Sans"/>
              <w:lang w:val="ca-ES"/>
            </w:rPr>
          </w:pPr>
          <w:r>
            <w:rPr>
              <w:rFonts w:cs="Noto Sans" w:ascii="Noto Sans" w:hAnsi="Noto Sans"/>
              <w:lang w:val="ca-ES"/>
            </w:rPr>
          </w:r>
        </w:p>
      </w:tc>
      <w:tc>
        <w:tcPr>
          <w:tcW w:w="4589" w:type="dxa"/>
          <w:tcBorders/>
          <w:shd w:fill="auto" w:val="clear"/>
        </w:tcPr>
        <w:p>
          <w:pPr>
            <w:pStyle w:val="Peudepgina"/>
            <w:suppressAutoHyphens w:val="false"/>
            <w:jc w:val="center"/>
            <w:rPr>
              <w:rFonts w:ascii="Noto Sans" w:hAnsi="Noto Sans" w:cs="Noto Sans"/>
            </w:rPr>
          </w:pPr>
          <w:r>
            <w:rPr>
              <w:rFonts w:cs="Noto Sans" w:ascii="Noto Sans" w:hAnsi="Noto Sans"/>
            </w:rPr>
          </w:r>
        </w:p>
      </w:tc>
      <w:tc>
        <w:tcPr>
          <w:tcW w:w="2724" w:type="dxa"/>
          <w:tcBorders/>
          <w:shd w:fill="auto" w:val="clear"/>
        </w:tcPr>
        <w:p>
          <w:pPr>
            <w:pStyle w:val="Peudepgina"/>
            <w:suppressAutoHyphens w:val="false"/>
            <w:rPr>
              <w:rFonts w:ascii="Noto Sans" w:hAnsi="Noto Sans" w:cs="Noto Sans"/>
            </w:rPr>
          </w:pPr>
          <w:r>
            <w:rPr>
              <w:rFonts w:cs="Noto Sans" w:ascii="Noto Sans" w:hAnsi="Noto Sans"/>
            </w:rPr>
          </w:r>
        </w:p>
      </w:tc>
    </w:tr>
  </w:tbl>
  <w:p>
    <w:pPr>
      <w:pStyle w:val="Peudepgina"/>
      <w:rPr>
        <w:rFonts w:cs="Noto Sans"/>
        <w:sz w:val="15"/>
        <w:szCs w:val="15"/>
      </w:rPr>
    </w:pPr>
    <w:r>
      <w:rPr>
        <w:rFonts w:cs="Noto Sans"/>
        <w:sz w:val="15"/>
        <w:szCs w:val="15"/>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6">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spacing w:before="0" w:after="960"/>
      <w:ind w:hanging="1560"/>
      <w:rPr/>
    </w:pPr>
    <w:r>
      <w:rPr/>
      <w:drawing>
        <wp:inline distT="0" distB="0" distL="0" distR="0">
          <wp:extent cx="2032000" cy="1250950"/>
          <wp:effectExtent l="0" t="0" r="0" b="0"/>
          <wp:docPr id="2" name="Imagen 5" descr="C_MOB_HAB_CO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5" descr="C_MOB_HAB_COL (2)"/>
                  <pic:cNvPicPr>
                    <a:picLocks noChangeAspect="1" noChangeArrowheads="1"/>
                  </pic:cNvPicPr>
                </pic:nvPicPr>
                <pic:blipFill>
                  <a:blip r:embed="rId1"/>
                  <a:stretch>
                    <a:fillRect/>
                  </a:stretch>
                </pic:blipFill>
                <pic:spPr bwMode="auto">
                  <a:xfrm>
                    <a:off x="0" y="0"/>
                    <a:ext cx="2032000" cy="1250950"/>
                  </a:xfrm>
                  <a:prstGeom prst="rect">
                    <a:avLst/>
                  </a:prstGeom>
                </pic:spPr>
              </pic:pic>
            </a:graphicData>
          </a:graphic>
        </wp:inline>
      </w:drawing>
    </w:r>
  </w:p>
</w:hdr>
</file>

<file path=word/settings.xml><?xml version="1.0" encoding="utf-8"?>
<w:settings xmlns:w="http://schemas.openxmlformats.org/wordprocessingml/2006/main">
  <w:zoom w:percent="130"/>
  <w:defaultTabStop w:val="708"/>
  <w:autoHyphenation w:val="false"/>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ca-ES" w:eastAsia="ca-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c7314"/>
    <w:pPr>
      <w:widowControl/>
      <w:suppressAutoHyphens w:val="true"/>
      <w:bidi w:val="0"/>
      <w:spacing w:lineRule="atLeast" w:line="260"/>
      <w:jc w:val="left"/>
    </w:pPr>
    <w:rPr>
      <w:rFonts w:ascii="LegacySanITCBoo" w:hAnsi="LegacySanITCBoo" w:eastAsia="MS Mincho" w:cs="Angsana New"/>
      <w:color w:val="auto"/>
      <w:kern w:val="0"/>
      <w:sz w:val="24"/>
      <w:szCs w:val="24"/>
      <w:lang w:eastAsia="zh-CN" w:val="ca-ES" w:bidi="ar-SA"/>
    </w:rPr>
  </w:style>
  <w:style w:type="character" w:styleId="DefaultParagraphFont" w:default="1">
    <w:name w:val="Default Paragraph Font"/>
    <w:uiPriority w:val="1"/>
    <w:semiHidden/>
    <w:unhideWhenUsed/>
    <w:qFormat/>
    <w:rPr/>
  </w:style>
  <w:style w:type="character" w:styleId="EncabezadoCar" w:customStyle="1">
    <w:name w:val="Encabezado Car"/>
    <w:link w:val="Encabezado"/>
    <w:uiPriority w:val="99"/>
    <w:qFormat/>
    <w:rsid w:val="002f3d33"/>
    <w:rPr>
      <w:rFonts w:ascii="Noto Sans" w:hAnsi="Noto Sans"/>
    </w:rPr>
  </w:style>
  <w:style w:type="character" w:styleId="PiedepginaCar" w:customStyle="1">
    <w:name w:val="Pie de página Car"/>
    <w:link w:val="Piedepgina"/>
    <w:uiPriority w:val="99"/>
    <w:qFormat/>
    <w:rsid w:val="002f3d33"/>
    <w:rPr>
      <w:rFonts w:ascii="Noto Sans" w:hAnsi="Noto Sans"/>
    </w:rPr>
  </w:style>
  <w:style w:type="character" w:styleId="TextodegloboCar" w:customStyle="1">
    <w:name w:val="Texto de globo Car"/>
    <w:link w:val="Textodeglobo"/>
    <w:uiPriority w:val="99"/>
    <w:semiHidden/>
    <w:qFormat/>
    <w:rsid w:val="002f3d33"/>
    <w:rPr>
      <w:rFonts w:ascii="Tahoma" w:hAnsi="Tahoma" w:cs="Tahoma"/>
      <w:sz w:val="16"/>
      <w:szCs w:val="16"/>
    </w:rPr>
  </w:style>
  <w:style w:type="character" w:styleId="EnlladInternet">
    <w:name w:val="Enllaç d'Internet"/>
    <w:uiPriority w:val="99"/>
    <w:unhideWhenUsed/>
    <w:rsid w:val="003419d5"/>
    <w:rPr>
      <w:color w:val="0000FF"/>
      <w:u w:val="single"/>
    </w:rPr>
  </w:style>
  <w:style w:type="character" w:styleId="Annotationreference">
    <w:name w:val="annotation reference"/>
    <w:basedOn w:val="DefaultParagraphFont"/>
    <w:uiPriority w:val="99"/>
    <w:semiHidden/>
    <w:unhideWhenUsed/>
    <w:qFormat/>
    <w:rsid w:val="001e357d"/>
    <w:rPr>
      <w:sz w:val="16"/>
      <w:szCs w:val="16"/>
    </w:rPr>
  </w:style>
  <w:style w:type="character" w:styleId="TextocomentarioCar" w:customStyle="1">
    <w:name w:val="Texto comentario Car"/>
    <w:basedOn w:val="DefaultParagraphFont"/>
    <w:link w:val="Textocomentario"/>
    <w:uiPriority w:val="99"/>
    <w:semiHidden/>
    <w:qFormat/>
    <w:rsid w:val="001e357d"/>
    <w:rPr>
      <w:rFonts w:ascii="LegacySanITCBoo" w:hAnsi="LegacySanITCBoo" w:eastAsia="MS Mincho" w:cs="Angsana New"/>
      <w:lang w:eastAsia="zh-CN"/>
    </w:rPr>
  </w:style>
  <w:style w:type="character" w:styleId="AsuntodelcomentarioCar" w:customStyle="1">
    <w:name w:val="Asunto del comentario Car"/>
    <w:basedOn w:val="TextocomentarioCar"/>
    <w:link w:val="Asuntodelcomentario"/>
    <w:uiPriority w:val="99"/>
    <w:semiHidden/>
    <w:qFormat/>
    <w:rsid w:val="001e357d"/>
    <w:rPr>
      <w:rFonts w:ascii="LegacySanITCBoo" w:hAnsi="LegacySanITCBoo" w:eastAsia="MS Mincho" w:cs="Angsana New"/>
      <w:b/>
      <w:bCs/>
      <w:lang w:eastAsia="zh-CN"/>
    </w:rPr>
  </w:style>
  <w:style w:type="paragraph" w:styleId="Encapalament">
    <w:name w:val="Encapçalament"/>
    <w:basedOn w:val="Normal"/>
    <w:next w:val="Cosdeltext"/>
    <w:qFormat/>
    <w:pPr>
      <w:keepNext w:val="true"/>
      <w:spacing w:before="240" w:after="120"/>
    </w:pPr>
    <w:rPr>
      <w:rFonts w:ascii="Liberation Sans" w:hAnsi="Liberation Sans" w:eastAsia="Microsoft YaHei" w:cs="Mang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Mangal"/>
    </w:rPr>
  </w:style>
  <w:style w:type="paragraph" w:styleId="Llegenda">
    <w:name w:val="Caption"/>
    <w:basedOn w:val="Normal"/>
    <w:qFormat/>
    <w:pPr>
      <w:suppressLineNumbers/>
      <w:spacing w:before="120" w:after="120"/>
    </w:pPr>
    <w:rPr>
      <w:rFonts w:cs="Mangal"/>
      <w:i/>
      <w:iCs/>
      <w:sz w:val="24"/>
      <w:szCs w:val="24"/>
    </w:rPr>
  </w:style>
  <w:style w:type="paragraph" w:styleId="Ndex">
    <w:name w:val="Índex"/>
    <w:basedOn w:val="Normal"/>
    <w:qFormat/>
    <w:pPr>
      <w:suppressLineNumbers/>
    </w:pPr>
    <w:rPr>
      <w:rFonts w:cs="Mangal"/>
    </w:rPr>
  </w:style>
  <w:style w:type="paragraph" w:styleId="Capalera">
    <w:name w:val="Header"/>
    <w:basedOn w:val="Normal"/>
    <w:link w:val="EncabezadoCar"/>
    <w:uiPriority w:val="99"/>
    <w:unhideWhenUsed/>
    <w:rsid w:val="002f3d33"/>
    <w:pPr>
      <w:tabs>
        <w:tab w:val="clear" w:pos="708"/>
        <w:tab w:val="center" w:pos="4252" w:leader="none"/>
        <w:tab w:val="right" w:pos="8504" w:leader="none"/>
      </w:tabs>
    </w:pPr>
    <w:rPr>
      <w:rFonts w:ascii="Noto Sans" w:hAnsi="Noto Sans" w:eastAsia="Calibri" w:cs="Times New Roman"/>
      <w:sz w:val="20"/>
      <w:szCs w:val="20"/>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eastAsia="Calibri" w:cs="Times New Roman"/>
      <w:sz w:val="16"/>
      <w:szCs w:val="16"/>
    </w:rPr>
  </w:style>
  <w:style w:type="paragraph" w:styleId="Nmerodepgina" w:customStyle="1">
    <w:name w:val="Número de pàgina"/>
    <w:basedOn w:val="Peudepgina"/>
    <w:qFormat/>
    <w:rsid w:val="003419d5"/>
    <w:pPr>
      <w:jc w:val="right"/>
    </w:pPr>
    <w:rPr>
      <w:sz w:val="18"/>
      <w:szCs w:val="18"/>
    </w:rPr>
  </w:style>
  <w:style w:type="paragraph" w:styleId="Default" w:customStyle="1">
    <w:name w:val="Default"/>
    <w:qFormat/>
    <w:rsid w:val="00dc7314"/>
    <w:pPr>
      <w:widowControl/>
      <w:suppressAutoHyphens w:val="true"/>
      <w:bidi w:val="0"/>
      <w:jc w:val="left"/>
    </w:pPr>
    <w:rPr>
      <w:rFonts w:ascii="Arial" w:hAnsi="Arial" w:eastAsia="Times New Roman" w:cs="Arial"/>
      <w:color w:val="000000"/>
      <w:kern w:val="0"/>
      <w:sz w:val="24"/>
      <w:szCs w:val="24"/>
      <w:lang w:val="es-ES" w:eastAsia="zh-CN" w:bidi="ar-SA"/>
    </w:rPr>
  </w:style>
  <w:style w:type="paragraph" w:styleId="Standard" w:customStyle="1">
    <w:name w:val="Standard"/>
    <w:qFormat/>
    <w:rsid w:val="00dc7314"/>
    <w:pPr>
      <w:widowControl/>
      <w:suppressAutoHyphens w:val="true"/>
      <w:bidi w:val="0"/>
      <w:spacing w:lineRule="atLeast" w:line="260"/>
      <w:jc w:val="left"/>
      <w:textAlignment w:val="baseline"/>
    </w:pPr>
    <w:rPr>
      <w:rFonts w:ascii="LegacySanITCBoo" w:hAnsi="LegacySanITCBoo" w:eastAsia="MS Mincho" w:cs="Angsana New"/>
      <w:color w:val="auto"/>
      <w:kern w:val="2"/>
      <w:sz w:val="24"/>
      <w:szCs w:val="24"/>
      <w:lang w:eastAsia="zh-CN" w:val="ca-ES" w:bidi="ar-SA"/>
    </w:rPr>
  </w:style>
  <w:style w:type="paragraph" w:styleId="Annotationtext">
    <w:name w:val="annotation text"/>
    <w:basedOn w:val="Normal"/>
    <w:link w:val="TextocomentarioCar"/>
    <w:uiPriority w:val="99"/>
    <w:semiHidden/>
    <w:unhideWhenUsed/>
    <w:qFormat/>
    <w:rsid w:val="001e357d"/>
    <w:pPr/>
    <w:rPr>
      <w:sz w:val="20"/>
      <w:szCs w:val="20"/>
    </w:rPr>
  </w:style>
  <w:style w:type="paragraph" w:styleId="Annotationsubject">
    <w:name w:val="annotation subject"/>
    <w:basedOn w:val="Annotationtext"/>
    <w:next w:val="Annotationtext"/>
    <w:link w:val="AsuntodelcomentarioCar"/>
    <w:uiPriority w:val="99"/>
    <w:semiHidden/>
    <w:unhideWhenUsed/>
    <w:qFormat/>
    <w:rsid w:val="001e357d"/>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Plantilla genèrica Conselleria Mobilitat i Habitatge</Template>
  <TotalTime>141</TotalTime>
  <Application>LibreOffice/6.1.5.2$Windows_x86 LibreOffice_project/90f8dcf33c87b3705e78202e3df5142b201bd805</Application>
  <Pages>16</Pages>
  <Words>5028</Words>
  <Characters>26960</Characters>
  <CharactersWithSpaces>31825</CharactersWithSpaces>
  <Paragraphs>190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2020-02-06T19:10:00Z</dcterms:created>
  <dc:creator>CA</dc:creator>
  <dc:description/>
  <dc:language>es-ES</dc:language>
  <cp:lastModifiedBy>CA</cp:lastModifiedBy>
  <dcterms:modified xsi:type="dcterms:W3CDTF">2020-02-07T10:17:00Z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