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4.jpeg" ContentType="image/jpeg"/>
  <Override PartName="/word/media/image3.png" ContentType="image/png"/>
  <Override PartName="/word/media/image5.jpeg" ContentType="image/jpeg"/>
  <Override PartName="/word/media/image6.jpeg" ContentType="image/jpe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b/>
          <w:b/>
          <w:lang w:val="ca-ES"/>
        </w:rPr>
      </w:pPr>
      <w:r>
        <w:rPr>
          <w:rFonts w:cs="Noto Sans" w:ascii="Noto Sans" w:hAnsi="Noto Sans"/>
          <w:b/>
          <w:lang w:val="ca-ES"/>
        </w:rPr>
        <w:t xml:space="preserve">DECLARACIÓ RESPONSABLE PER AL COMPLIMENT DE LES CONDICIONS ESTABLERTES A L’ORDRE DEL CONSELLER DE FONS </w:t>
      </w:r>
      <w:r>
        <w:rPr>
          <w:rFonts w:cs="Noto Sans" w:ascii="Noto Sans" w:hAnsi="Noto Sans"/>
          <w:b/>
          <w:shd w:fill="auto" w:val="clear"/>
          <w:lang w:val="ca-ES"/>
        </w:rPr>
        <w:t>EUROPEUS, UNIVERSITAT I CULTURA, PER LA QUAL S’APROVEN LES BASES REGULADORES I LA CONVOCATÒRIA PÚBLICA DE SUBVENCIONS PER A LA EXECUCIÓ DE DIVERSES ACTUACIONS DE MILLORA DE LES INFRAESTRUCTURES DE TELECOMUNICACIONS EN EDIFICIS, EN EL MARC DEL PLA DE RECUPERACIÓ, TRANSFORMACIÓ I RESILIÈNCIA</w:t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b/>
          <w:b/>
          <w:shd w:fill="auto" w:val="clear"/>
          <w:lang w:val="ca-ES"/>
        </w:rPr>
      </w:pPr>
      <w:r>
        <w:rPr>
          <w:rFonts w:cs="Noto Sans" w:ascii="Noto Sans" w:hAnsi="Noto Sans"/>
          <w:b/>
          <w:shd w:fill="auto" w:val="clear"/>
          <w:lang w:val="ca-ES"/>
        </w:rPr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lang w:val="ca-ES"/>
        </w:rPr>
      </w:pPr>
      <w:r>
        <w:rPr>
          <w:rFonts w:cs="Noto Sans" w:ascii="Noto Sans" w:hAnsi="Noto Sans"/>
          <w:shd w:fill="auto" w:val="clear"/>
          <w:lang w:val="ca-ES"/>
        </w:rPr>
        <w:t>L’annex II del Reial decret 990/2021, de 16 de novembre, pel qual s’aprova la concessió directa d’ajudes a les comunitats autònomes i a les ciutats de Ceuta i Melilla  per a l’execució de diverses actuacions de millora de les infraestructures de telecomunicacions en edificis, en el marc del Pla de Recuperació, Transformació i Resiliència (BOE núm. 275, de 17 de novembre), preveu l</w:t>
      </w:r>
      <w:r>
        <w:rPr>
          <w:rFonts w:cs="Noto Sans" w:ascii="Noto Sans" w:hAnsi="Noto Sans"/>
          <w:lang w:val="ca-ES"/>
        </w:rPr>
        <w:t xml:space="preserve">a inversió C15.I4: “Renovació i sostenibilitat d'infraestructures. Millora de l'equipament que permet allotjar les infraestructures de telecomunicacions situades als edificis per optimitzar el desplegament de xarxes i aconseguir un menor consum d'energia”. </w:t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lang w:val="ca-ES"/>
        </w:rPr>
      </w:pPr>
      <w:r>
        <w:rPr>
          <w:rFonts w:cs="Noto Sans" w:ascii="Noto Sans" w:hAnsi="Noto Sans"/>
          <w:lang w:val="ca-ES"/>
        </w:rPr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>Mitjançant l’Ordre 20/2022 del conseller de  Fons Europeus, Universitat i Cultura (BOIB núm. 107/2022, de dia 13 d’agost), s’aprovaren les bases reguladores i la convocatòria pública de subvencions al pla d’inversió assenyalat en el paràgraf anterior.</w:t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shd w:fill="auto" w:val="clear"/>
          <w:lang w:val="ca-ES"/>
        </w:rPr>
      </w:pPr>
      <w:r>
        <w:rPr>
          <w:rFonts w:cs="Noto Sans" w:ascii="Noto Sans" w:hAnsi="Noto Sans"/>
          <w:shd w:fill="auto" w:val="clear"/>
          <w:lang w:val="ca-ES"/>
        </w:rPr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lang w:val="ca-ES"/>
        </w:rPr>
      </w:pPr>
      <w:r>
        <w:rPr>
          <w:rFonts w:cs="Noto Sans" w:ascii="Noto Sans" w:hAnsi="Noto Sans"/>
          <w:lang w:val="ca-ES"/>
        </w:rPr>
        <w:t>[</w:t>
      </w:r>
      <w:r>
        <w:rPr>
          <w:rFonts w:cs="Noto Sans" w:ascii="Noto Sans" w:hAnsi="Noto Sans"/>
          <w:i/>
          <w:lang w:val="ca-ES"/>
        </w:rPr>
        <w:t>Nom de la persona física que declara</w:t>
      </w:r>
      <w:r>
        <w:rPr>
          <w:rFonts w:cs="Noto Sans" w:ascii="Noto Sans" w:hAnsi="Noto Sans"/>
          <w:lang w:val="ca-ES"/>
        </w:rPr>
        <w:t>] ______________________________________________, amb DNI  _______________________________________, en nom i representació de [</w:t>
      </w:r>
      <w:r>
        <w:rPr>
          <w:rFonts w:cs="Noto Sans" w:ascii="Noto Sans" w:hAnsi="Noto Sans"/>
          <w:i/>
          <w:lang w:val="ca-ES"/>
        </w:rPr>
        <w:t>la comunitat de propietaris</w:t>
      </w:r>
      <w:r>
        <w:rPr>
          <w:rFonts w:cs="Noto Sans" w:ascii="Noto Sans" w:hAnsi="Noto Sans"/>
          <w:lang w:val="ca-ES"/>
        </w:rPr>
        <w:t>]_______________________________, amb NIF _____________________</w:t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b/>
          <w:b/>
          <w:lang w:val="ca-ES"/>
        </w:rPr>
      </w:pPr>
      <w:r>
        <w:rPr>
          <w:rFonts w:cs="Noto Sans" w:ascii="Noto Sans" w:hAnsi="Noto Sans"/>
          <w:b/>
          <w:lang w:val="ca-ES"/>
        </w:rPr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lang w:val="ca-ES"/>
        </w:rPr>
      </w:pPr>
      <w:r>
        <w:rPr>
          <w:rFonts w:cs="Noto Sans" w:ascii="Noto Sans" w:hAnsi="Noto Sans"/>
          <w:b/>
          <w:lang w:val="ca-ES"/>
        </w:rPr>
        <w:t>DECLAR</w:t>
      </w:r>
      <w:r>
        <w:rPr>
          <w:rFonts w:cs="Noto Sans" w:ascii="Noto Sans" w:hAnsi="Noto Sans"/>
          <w:lang w:val="ca-ES"/>
        </w:rPr>
        <w:t xml:space="preserve">: </w:t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lang w:val="ca-ES"/>
        </w:rPr>
      </w:pPr>
      <w:r>
        <w:rPr>
          <w:rFonts w:cs="Noto Sans" w:ascii="Noto Sans" w:hAnsi="Noto Sans"/>
          <w:lang w:val="ca-ES"/>
        </w:rPr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 xml:space="preserve">1. Que la </w:t>
      </w:r>
      <w:bookmarkStart w:id="0" w:name="_GoBack"/>
      <w:bookmarkEnd w:id="0"/>
      <w:r>
        <w:rPr>
          <w:rFonts w:cs="Noto Sans" w:ascii="Noto Sans" w:hAnsi="Noto Sans"/>
          <w:shd w:fill="auto" w:val="clear"/>
          <w:lang w:val="ca-ES"/>
        </w:rPr>
        <w:t>comunitat peticionària no està inclosa en cap dels punts indicats a l’article 1</w:t>
      </w:r>
      <w:r>
        <w:rPr>
          <w:rFonts w:cs="Noto Sans" w:ascii="Noto Sans" w:hAnsi="Noto Sans"/>
          <w:shd w:fill="auto" w:val="clear"/>
          <w:lang w:val="ca-ES"/>
        </w:rPr>
        <w:t>0.2 del Decret Legislatiu 2/2005, de 28 de desembre, pel qual s’aprova el text refós de la Llei de Subvencions (TRLS), concretament: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>No ha estat condemnada en ferm a la pena de pèrdua d’obtenir subvencions o ajudes públiques o per delictes de prevaricació, suborn, malversació de cabdals públics, tràfic d’influències, fraus i exaccions il·legals o delictes urbanístics.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>No ha sol·licitat la declaració de concurs voluntari ni ha sigut declarada insolvent a qualsevol procediment.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>No ha donat lloc, per causa de la que fossin declarats culpables, a la resolució ferma de qualsevol contracte celebrat amb l’Administració.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>No està incursa, l’administrador o administradora, en qualsevol dels supòsits de la Llei 3/2015, de 30 de març reguladora de l’exercici d’alt càrrec de l’Administració General de l’Estat o de la Llei 53/1984, de 26 de desembre, d’incompatibilitats.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>Està al corrent en el compliment de les obligacions tributàries, així com de les de la Seguretat Social imposades per les disposicions vigents.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>No està pendent d’obligacions per reintegrament de subvencions o altres ajudes, d’acord amb els termes que estableix l’article 21 del Reial decret 887/2006, de 21 de juliol pel qual es desenvolupa el Reglament de la Llei 38/2003, de 17 de novembre, general de subvencions (BOE núm. 176, de 25 de juliol).</w:t>
      </w:r>
    </w:p>
    <w:p>
      <w:pPr>
        <w:pStyle w:val="ListParagraph"/>
        <w:numPr>
          <w:ilvl w:val="0"/>
          <w:numId w:val="2"/>
        </w:numPr>
        <w:suppressAutoHyphens w:val="true"/>
        <w:spacing w:lineRule="auto" w:line="240" w:before="0" w:after="0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>No ha estat sancionada mitjançant resolució ferma amb la pèrdua de la possibilitat d’obtenir subvencions.</w:t>
      </w:r>
    </w:p>
    <w:p>
      <w:pPr>
        <w:pStyle w:val="ListParagraph"/>
        <w:suppressAutoHyphens w:val="true"/>
        <w:spacing w:lineRule="auto" w:line="240" w:before="0" w:after="0"/>
        <w:contextualSpacing/>
        <w:rPr>
          <w:rFonts w:ascii="Noto Sans" w:hAnsi="Noto Sans" w:cs="Noto Sans"/>
          <w:shd w:fill="auto" w:val="clear"/>
          <w:lang w:val="ca-ES"/>
        </w:rPr>
      </w:pPr>
      <w:r>
        <w:rPr>
          <w:rFonts w:cs="Noto Sans" w:ascii="Noto Sans" w:hAnsi="Noto Sans"/>
          <w:shd w:fill="auto" w:val="clear"/>
          <w:lang w:val="ca-ES"/>
        </w:rPr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>2. Que no s’han sol·licitat o rebut altres ajudes per la mateixa actuació o finalitat.</w:t>
      </w:r>
    </w:p>
    <w:p>
      <w:pPr>
        <w:pStyle w:val="Normal"/>
        <w:suppressAutoHyphens w:val="true"/>
        <w:spacing w:lineRule="auto" w:line="240" w:before="0" w:after="0"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hd w:fill="auto" w:val="clear"/>
          <w:lang w:val="ca-ES"/>
        </w:rPr>
        <w:t>Addicionalment, com a representant de la comunitat de propietaris i en nom seu, i en la condició de beneficiària d’ajuts finançats amb recursos provinents del PRTR en el desenvolupament d’actuacions necessàries per a la consecució dels objectius definits en el Component C15. I4: "Renovació i sostenibilitat d'infraestructures. Millora de l'equipament que permet allotjar les infraestructures de telecomunicacions situades als edificis per optimitzar el desplegament de xarxes i aconseguir un menor consum d'energia":</w:t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shd w:fill="auto" w:val="clear"/>
          <w:lang w:val="ca-ES"/>
        </w:rPr>
      </w:pPr>
      <w:r>
        <w:rPr>
          <w:rFonts w:cs="Noto Sans" w:ascii="Noto Sans" w:hAnsi="Noto Sans"/>
          <w:shd w:fill="auto" w:val="clear"/>
          <w:lang w:val="ca-ES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lineRule="auto" w:line="240" w:before="0" w:after="0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eastAsia="Times New Roman" w:cs="Noto Sans" w:ascii="Noto Sans" w:hAnsi="Noto Sans"/>
          <w:i/>
          <w:shd w:fill="auto" w:val="clear"/>
          <w:lang w:val="ca-ES" w:eastAsia="es-ES"/>
        </w:rPr>
        <w:t>Manifest</w:t>
      </w:r>
      <w:r>
        <w:rPr>
          <w:rFonts w:eastAsia="Times New Roman" w:cs="Noto Sans" w:ascii="Noto Sans" w:hAnsi="Noto Sans"/>
          <w:shd w:fill="auto" w:val="clear"/>
          <w:lang w:val="ca-ES" w:eastAsia="es-ES"/>
        </w:rPr>
        <w:t xml:space="preserve"> el compromís de l'entitat que represent amb els estàndards més exigents en relació amb el compliment de les normes jurídiques, ètiques i morals, adoptant les mesures necessàries per prevenir i detectar el frau, la corrupció i els conflictes d'interès, i comunicant, si escau, els incompliments observats a les autoritats procedents. Atenent el contingut del PRTR,  em compromet a respectar els principis d'economia circular i evitar impactes negatius significatius en el medi ambient (DNSH per les sigles en anglès de l’expressió </w:t>
      </w:r>
      <w:r>
        <w:rPr>
          <w:rFonts w:eastAsia="Times New Roman" w:cs="Noto Sans" w:ascii="Noto Sans" w:hAnsi="Noto Sans"/>
          <w:i/>
          <w:shd w:fill="auto" w:val="clear"/>
          <w:lang w:val="ca-ES" w:eastAsia="es-ES"/>
        </w:rPr>
        <w:t>do no significant harm</w:t>
      </w:r>
      <w:r>
        <w:rPr>
          <w:rFonts w:eastAsia="Times New Roman" w:cs="Noto Sans" w:ascii="Noto Sans" w:hAnsi="Noto Sans"/>
          <w:shd w:fill="auto" w:val="clear"/>
          <w:lang w:val="ca-ES" w:eastAsia="es-ES"/>
        </w:rPr>
        <w:t>) en l'execució de les actuacions portades en el marc d'aquest Pla, i manifest que no incorr en doble finançament i que, si escau, no em consta risc d'incompatibilitat amb el règim d'ajudes de l'Estat. Per això, garantiré el compliment de les instruccions indicades al document del Ministeri d'Afers Econòmics i Transformació Digital «Instruccions sobre condicions específiques per a l'execució de la inversió C15.I4 del Pla de Recuperació, Transformació i Resiliència en virtut del Reial decret 990/2021, de 16 de novembre, pel qual s'aprova la concessió directa d'ajudes a les comunitats autònomes i a les ciutats de Ceuta i Melilla per a l'execució de diverses actuacions de millora de les infraestructures de telecomunicacions en edificis, en el marc del Pla de Recuperació, Transformació i Resiliència» respectant el principi de no causar un perjudici significatiu en cap dels objectius mediambientals establerts al Reial decret 990/2021, de 16 de novembre (BOE núm. 275, de 17 de novembre).</w:t>
      </w:r>
    </w:p>
    <w:p>
      <w:pPr>
        <w:pStyle w:val="ListParagraph"/>
        <w:tabs>
          <w:tab w:val="clear" w:pos="720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spacing w:lineRule="auto" w:line="240" w:before="0" w:after="0"/>
        <w:contextualSpacing/>
        <w:rPr>
          <w:rFonts w:ascii="Noto Sans" w:hAnsi="Noto Sans" w:eastAsia="Times New Roman" w:cs="Noto Sans"/>
          <w:shd w:fill="auto" w:val="clear"/>
          <w:lang w:eastAsia="es-ES"/>
        </w:rPr>
      </w:pPr>
      <w:r>
        <w:rPr>
          <w:rFonts w:eastAsia="Times New Roman" w:cs="Noto Sans" w:ascii="Noto Sans" w:hAnsi="Noto Sans"/>
          <w:shd w:fill="auto" w:val="clear"/>
          <w:lang w:eastAsia="es-ES"/>
        </w:rPr>
      </w:r>
    </w:p>
    <w:p>
      <w:pPr>
        <w:pStyle w:val="HTMLPreformatted"/>
        <w:numPr>
          <w:ilvl w:val="0"/>
          <w:numId w:val="2"/>
        </w:numPr>
        <w:suppressAutoHyphens w:val="true"/>
        <w:rPr/>
      </w:pPr>
      <w:r>
        <w:rPr>
          <w:rStyle w:val="Y2iqfc"/>
          <w:rFonts w:cs="Noto Sans" w:ascii="Noto Sans" w:hAnsi="Noto Sans"/>
          <w:i/>
          <w:sz w:val="22"/>
          <w:szCs w:val="22"/>
          <w:shd w:fill="auto" w:val="clear"/>
          <w:lang w:val="ca-ES"/>
        </w:rPr>
        <w:t>Declar</w:t>
      </w:r>
      <w:r>
        <w:rPr>
          <w:rStyle w:val="Y2iqfc"/>
          <w:rFonts w:cs="Noto Sans" w:ascii="Noto Sans" w:hAnsi="Noto Sans"/>
          <w:sz w:val="22"/>
          <w:szCs w:val="22"/>
          <w:shd w:fill="auto" w:val="clear"/>
          <w:lang w:val="ca-ES"/>
        </w:rPr>
        <w:t xml:space="preserve"> conèixer la normativa que és aplicable, en particular els apartats següents de l'article 22, del Reglament (UE) 2021/241 del Parlament Europeu i del Consell, de 12 de febrer de 2021, pel qual s'estableix el Mecanisme de Recuperació i Resiliència:</w:t>
      </w:r>
    </w:p>
    <w:p>
      <w:pPr>
        <w:pStyle w:val="HTMLPreformatted"/>
        <w:suppressAutoHyphens w:val="true"/>
        <w:ind w:left="720" w:hanging="0"/>
        <w:rPr>
          <w:rFonts w:ascii="Noto Sans" w:hAnsi="Noto Sans" w:cs="Noto Sans"/>
          <w:sz w:val="22"/>
          <w:szCs w:val="22"/>
          <w:shd w:fill="auto" w:val="clear"/>
        </w:rPr>
      </w:pPr>
      <w:r>
        <w:rPr>
          <w:rFonts w:cs="Noto Sans" w:ascii="Noto Sans" w:hAnsi="Noto Sans"/>
          <w:sz w:val="22"/>
          <w:szCs w:val="22"/>
          <w:shd w:fill="auto" w:val="clear"/>
        </w:rPr>
      </w:r>
    </w:p>
    <w:p>
      <w:pPr>
        <w:pStyle w:val="HTMLPreformatted"/>
        <w:tabs>
          <w:tab w:val="clear" w:pos="916"/>
          <w:tab w:val="clear" w:pos="1832"/>
          <w:tab w:val="left" w:pos="709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rPr/>
      </w:pPr>
      <w:r>
        <w:rPr>
          <w:rStyle w:val="Y2iqfc"/>
          <w:rFonts w:cs="Noto Sans" w:ascii="Noto Sans" w:hAnsi="Noto Sans"/>
          <w:sz w:val="22"/>
          <w:szCs w:val="22"/>
          <w:shd w:fill="auto" w:val="clear"/>
          <w:lang w:val="ca-ES"/>
        </w:rPr>
        <w:tab/>
        <w:t xml:space="preserve">1r.  La lletra </w:t>
      </w:r>
      <w:r>
        <w:rPr>
          <w:rStyle w:val="Y2iqfc"/>
          <w:rFonts w:cs="Noto Sans" w:ascii="Noto Sans" w:hAnsi="Noto Sans"/>
          <w:i/>
          <w:sz w:val="22"/>
          <w:szCs w:val="22"/>
          <w:shd w:fill="auto" w:val="clear"/>
          <w:lang w:val="ca-ES"/>
        </w:rPr>
        <w:t>d)</w:t>
      </w:r>
      <w:r>
        <w:rPr>
          <w:rStyle w:val="Y2iqfc"/>
          <w:rFonts w:cs="Noto Sans" w:ascii="Noto Sans" w:hAnsi="Noto Sans"/>
          <w:sz w:val="22"/>
          <w:szCs w:val="22"/>
          <w:shd w:fill="auto" w:val="clear"/>
          <w:lang w:val="ca-ES"/>
        </w:rPr>
        <w:t xml:space="preserve"> de l'apartat 2: </w:t>
      </w:r>
    </w:p>
    <w:p>
      <w:pPr>
        <w:pStyle w:val="HTMLPreformatted"/>
        <w:tabs>
          <w:tab w:val="clear" w:pos="1832"/>
          <w:tab w:val="left" w:pos="916" w:leader="none"/>
          <w:tab w:val="left" w:pos="1130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ind w:left="1134" w:hanging="0"/>
        <w:rPr>
          <w:rFonts w:ascii="Noto Sans" w:hAnsi="Noto Sans" w:cs="Noto Sans"/>
          <w:sz w:val="22"/>
          <w:szCs w:val="22"/>
          <w:shd w:fill="auto" w:val="clear"/>
          <w:lang w:val="ca-ES"/>
        </w:rPr>
      </w:pPr>
      <w:r>
        <w:rPr>
          <w:rFonts w:cs="Noto Sans" w:ascii="Noto Sans" w:hAnsi="Noto Sans"/>
          <w:sz w:val="22"/>
          <w:szCs w:val="22"/>
          <w:shd w:fill="auto" w:val="clear"/>
          <w:lang w:val="ca-ES"/>
        </w:rPr>
      </w:r>
    </w:p>
    <w:p>
      <w:pPr>
        <w:pStyle w:val="HTMLPreformatted"/>
        <w:tabs>
          <w:tab w:val="clear" w:pos="1832"/>
          <w:tab w:val="left" w:pos="916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ind w:left="993" w:hanging="0"/>
        <w:rPr/>
      </w:pPr>
      <w:r>
        <w:rPr>
          <w:rStyle w:val="Y2iqfc"/>
          <w:rFonts w:cs="Noto Sans" w:ascii="Noto Sans" w:hAnsi="Noto Sans"/>
          <w:sz w:val="18"/>
          <w:szCs w:val="18"/>
          <w:shd w:fill="auto" w:val="clear"/>
          <w:lang w:val="ca-ES"/>
        </w:rPr>
        <w:t>recaptar, als efectes d'auditoria i control de l'ús de fons en relació amb les mesures destinades a l'execució de reformes i projectes d'inversió en el marc del pla de recuperació i resiliència, en un format electrònic que permeti fer cerques i en una base de dades única, les categories harmonitzades de dades següents:</w:t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240" w:before="0" w:after="0"/>
        <w:ind w:left="1276" w:hanging="284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z w:val="18"/>
          <w:szCs w:val="18"/>
          <w:shd w:fill="auto" w:val="clear"/>
          <w:lang w:val="ca-ES"/>
        </w:rPr>
        <w:t>el nom del perceptor final dels fons;</w:t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240" w:before="0" w:after="0"/>
        <w:ind w:left="1276" w:hanging="284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z w:val="18"/>
          <w:szCs w:val="18"/>
          <w:shd w:fill="auto" w:val="clear"/>
          <w:lang w:val="ca-ES"/>
        </w:rPr>
        <w:t>el nom del contractista i del subcontractista, quan el perceptor final dels fons sigui un poder adjudicador de conformitat amb el dret de la Unió o nacional en matèria de contractació pública;</w:t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240" w:before="0" w:after="0"/>
        <w:ind w:left="1276" w:hanging="284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z w:val="18"/>
          <w:szCs w:val="18"/>
          <w:shd w:fill="auto" w:val="clear"/>
          <w:lang w:val="ca-ES"/>
        </w:rPr>
        <w:t>els noms, cognoms i dates de naixement dels titulars reals del perceptor dels fons o del contractista, segons es defineix a l'article 3, punt 6, de la Directiva (UE) 2015/849 del Parlament Europeu i del Consell (26);</w:t>
      </w:r>
    </w:p>
    <w:p>
      <w:pPr>
        <w:pStyle w:val="ListParagraph"/>
        <w:numPr>
          <w:ilvl w:val="0"/>
          <w:numId w:val="1"/>
        </w:numPr>
        <w:suppressAutoHyphens w:val="true"/>
        <w:spacing w:lineRule="auto" w:line="240" w:before="0" w:after="0"/>
        <w:ind w:left="1276" w:hanging="284"/>
        <w:contextualSpacing/>
        <w:rPr>
          <w:rFonts w:ascii="Calibri" w:hAnsi="Calibri" w:eastAsia="Calibri" w:cs="" w:asciiTheme="minorHAnsi" w:cstheme="minorBidi" w:eastAsiaTheme="minorHAnsi" w:hAnsiTheme="minorHAnsi"/>
          <w:shd w:fill="auto" w:val="clear"/>
        </w:rPr>
      </w:pPr>
      <w:r>
        <w:rPr>
          <w:rFonts w:cs="Noto Sans" w:ascii="Noto Sans" w:hAnsi="Noto Sans"/>
          <w:sz w:val="18"/>
          <w:szCs w:val="18"/>
          <w:shd w:fill="auto" w:val="clear"/>
          <w:lang w:val="ca-ES"/>
        </w:rPr>
        <w:t>una llista de mesures per a l'execució de reformes i projectes d'inversió en el marc del pla de recuperació i resiliència, juntament amb l'import total del finançament públic de les mesures esmentades i que indiqui la quantia dels fons desemborsats en el marc del Mecanisme i altres fons de la Unió.</w:t>
      </w:r>
    </w:p>
    <w:p>
      <w:pPr>
        <w:pStyle w:val="ListParagraph"/>
        <w:suppressAutoHyphens w:val="true"/>
        <w:spacing w:lineRule="auto" w:line="240" w:before="0" w:after="0"/>
        <w:ind w:left="2460" w:hanging="0"/>
        <w:contextualSpacing/>
        <w:rPr>
          <w:rFonts w:ascii="Noto Sans" w:hAnsi="Noto Sans" w:cs="Noto Sans"/>
          <w:shd w:fill="auto" w:val="clear"/>
          <w:lang w:val="ca-ES"/>
        </w:rPr>
      </w:pPr>
      <w:r>
        <w:rPr>
          <w:rFonts w:cs="Noto Sans" w:ascii="Noto Sans" w:hAnsi="Noto Sans"/>
          <w:shd w:fill="auto" w:val="clear"/>
          <w:lang w:val="ca-ES"/>
        </w:rPr>
      </w:r>
    </w:p>
    <w:p>
      <w:pPr>
        <w:pStyle w:val="HTMLPreformatted"/>
        <w:tabs>
          <w:tab w:val="clear" w:pos="916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ind w:left="993" w:hanging="349"/>
        <w:rPr/>
      </w:pPr>
      <w:r>
        <w:rPr>
          <w:rStyle w:val="Y2iqfc"/>
          <w:rFonts w:cs="Noto Sans" w:ascii="Noto Sans" w:hAnsi="Noto Sans"/>
          <w:sz w:val="22"/>
          <w:szCs w:val="22"/>
          <w:shd w:fill="auto" w:val="clear"/>
          <w:lang w:val="ca-ES"/>
        </w:rPr>
        <w:t xml:space="preserve">2n.  Apartat 3: </w:t>
      </w:r>
    </w:p>
    <w:p>
      <w:pPr>
        <w:pStyle w:val="HTMLPreformatted"/>
        <w:tabs>
          <w:tab w:val="clear" w:pos="916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ind w:left="993" w:hanging="349"/>
        <w:rPr>
          <w:rFonts w:ascii="Noto Sans" w:hAnsi="Noto Sans" w:cs="Noto Sans"/>
          <w:sz w:val="22"/>
          <w:szCs w:val="22"/>
          <w:shd w:fill="auto" w:val="clear"/>
          <w:lang w:val="ca-ES"/>
        </w:rPr>
      </w:pPr>
      <w:r>
        <w:rPr>
          <w:rFonts w:cs="Noto Sans" w:ascii="Noto Sans" w:hAnsi="Noto Sans"/>
          <w:sz w:val="22"/>
          <w:szCs w:val="22"/>
          <w:shd w:fill="auto" w:val="clear"/>
          <w:lang w:val="ca-ES"/>
        </w:rPr>
      </w:r>
    </w:p>
    <w:p>
      <w:pPr>
        <w:pStyle w:val="HTMLPreformatted"/>
        <w:tabs>
          <w:tab w:val="clear" w:pos="916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ind w:left="851" w:hanging="0"/>
        <w:rPr/>
      </w:pPr>
      <w:r>
        <w:rPr>
          <w:rStyle w:val="Y2iqfc"/>
          <w:rFonts w:cs="Noto Sans" w:ascii="Noto Sans" w:hAnsi="Noto Sans"/>
          <w:sz w:val="18"/>
          <w:szCs w:val="18"/>
          <w:shd w:fill="auto" w:val="clear"/>
          <w:lang w:val="ca-ES"/>
        </w:rPr>
        <w:t xml:space="preserve">Les dades personals esmentades a l'apartat 2, lletra </w:t>
      </w:r>
      <w:r>
        <w:rPr>
          <w:rStyle w:val="Y2iqfc"/>
          <w:rFonts w:cs="Noto Sans" w:ascii="Noto Sans" w:hAnsi="Noto Sans"/>
          <w:i/>
          <w:sz w:val="18"/>
          <w:szCs w:val="18"/>
          <w:shd w:fill="auto" w:val="clear"/>
          <w:lang w:val="ca-ES"/>
        </w:rPr>
        <w:t>d)</w:t>
      </w:r>
      <w:r>
        <w:rPr>
          <w:rStyle w:val="Y2iqfc"/>
          <w:rFonts w:cs="Noto Sans" w:ascii="Noto Sans" w:hAnsi="Noto Sans"/>
          <w:sz w:val="18"/>
          <w:szCs w:val="18"/>
          <w:shd w:fill="auto" w:val="clear"/>
          <w:lang w:val="ca-ES"/>
        </w:rPr>
        <w:t>, del present article només seran tractades pels Estats membres i per la Comissió als efectes i durada de la corresponent auditoria de l'aprovació de la gestió pressupostària i dels procediments de control relacionats amb la utilització dels fons relacionats amb l'aplicació dels acords a què fan referència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fa referència l'article 247 del Reglament Financer i, en particular, per separat, a l'informe anual de gestió i rendiment.</w:t>
      </w:r>
    </w:p>
    <w:p>
      <w:pPr>
        <w:pStyle w:val="HTMLPreformatted"/>
        <w:suppressAutoHyphens w:val="true"/>
        <w:ind w:left="1247" w:hanging="0"/>
        <w:rPr>
          <w:rFonts w:ascii="Noto Sans" w:hAnsi="Noto Sans" w:cs="Noto Sans"/>
          <w:sz w:val="22"/>
          <w:szCs w:val="22"/>
          <w:shd w:fill="auto" w:val="clear"/>
          <w:lang w:val="ca-ES"/>
        </w:rPr>
      </w:pPr>
      <w:r>
        <w:rPr>
          <w:rFonts w:cs="Noto Sans" w:ascii="Noto Sans" w:hAnsi="Noto Sans"/>
          <w:sz w:val="22"/>
          <w:szCs w:val="22"/>
          <w:shd w:fill="auto" w:val="clear"/>
          <w:lang w:val="ca-ES"/>
        </w:rPr>
      </w:r>
    </w:p>
    <w:p>
      <w:pPr>
        <w:pStyle w:val="HTMLPreformatted"/>
        <w:tabs>
          <w:tab w:val="clear" w:pos="916"/>
          <w:tab w:val="clear" w:pos="1832"/>
          <w:tab w:val="left" w:pos="993" w:leader="none"/>
          <w:tab w:val="left" w:pos="1701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rPr/>
      </w:pPr>
      <w:r>
        <w:rPr>
          <w:rStyle w:val="Y2iqfc"/>
          <w:rFonts w:cs="Noto Sans" w:ascii="Noto Sans" w:hAnsi="Noto Sans"/>
          <w:sz w:val="22"/>
          <w:szCs w:val="22"/>
          <w:shd w:fill="auto" w:val="clear"/>
          <w:lang w:val="ca-ES"/>
        </w:rPr>
        <w:t xml:space="preserve">Conforme al marc jurídic exposat, </w:t>
      </w:r>
      <w:r>
        <w:rPr>
          <w:rStyle w:val="Y2iqfc"/>
          <w:rFonts w:cs="Noto Sans" w:ascii="Noto Sans" w:hAnsi="Noto Sans"/>
          <w:i/>
          <w:sz w:val="22"/>
          <w:szCs w:val="22"/>
          <w:shd w:fill="auto" w:val="clear"/>
          <w:lang w:val="ca-ES"/>
        </w:rPr>
        <w:t>manifest</w:t>
      </w:r>
      <w:r>
        <w:rPr>
          <w:rStyle w:val="Y2iqfc"/>
          <w:rFonts w:cs="Noto Sans" w:ascii="Noto Sans" w:hAnsi="Noto Sans"/>
          <w:sz w:val="22"/>
          <w:szCs w:val="22"/>
          <w:shd w:fill="auto" w:val="clear"/>
          <w:lang w:val="ca-ES"/>
        </w:rPr>
        <w:t xml:space="preserve"> accedir a la cessió i tractament de les dades amb les finalitats expressament indicades en els articles esmentats.</w:t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shd w:fill="auto" w:val="clear"/>
        </w:rPr>
      </w:pPr>
      <w:r>
        <w:rPr>
          <w:rFonts w:cs="Noto Sans" w:ascii="Noto Sans" w:hAnsi="Noto Sans"/>
          <w:shd w:fill="auto" w:val="clear"/>
        </w:rPr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shd w:fill="auto" w:val="clear"/>
          <w:lang w:val="ca-ES"/>
        </w:rPr>
      </w:pPr>
      <w:r>
        <w:rPr>
          <w:rFonts w:cs="Noto Sans" w:ascii="Noto Sans" w:hAnsi="Noto Sans"/>
          <w:shd w:fill="auto" w:val="clear"/>
          <w:lang w:val="ca-ES"/>
        </w:rPr>
      </w:r>
    </w:p>
    <w:p>
      <w:pPr>
        <w:pStyle w:val="Normal"/>
        <w:suppressAutoHyphens w:val="true"/>
        <w:spacing w:lineRule="auto" w:line="240" w:before="0" w:after="0"/>
        <w:rPr/>
      </w:pPr>
      <w:r>
        <w:rPr>
          <w:rFonts w:cs="Noto Sans" w:ascii="Noto Sans" w:hAnsi="Noto Sans"/>
          <w:lang w:val="ca-ES"/>
        </w:rPr>
        <w:t xml:space="preserve">Palma, </w:t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lang w:val="ca-ES"/>
        </w:rPr>
      </w:pPr>
      <w:r>
        <w:rPr>
          <w:rFonts w:cs="Noto Sans" w:ascii="Noto Sans" w:hAnsi="Noto Sans"/>
          <w:lang w:val="ca-ES"/>
        </w:rPr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lang w:val="ca-ES"/>
        </w:rPr>
      </w:pPr>
      <w:r>
        <w:rPr>
          <w:rFonts w:cs="Noto Sans" w:ascii="Noto Sans" w:hAnsi="Noto Sans"/>
          <w:lang w:val="ca-ES"/>
        </w:rPr>
      </w:r>
    </w:p>
    <w:p>
      <w:pPr>
        <w:pStyle w:val="Normal"/>
        <w:suppressAutoHyphens w:val="true"/>
        <w:spacing w:lineRule="auto" w:line="240" w:before="0" w:after="0"/>
        <w:rPr>
          <w:rFonts w:ascii="Noto Sans" w:hAnsi="Noto Sans" w:cs="Noto Sans"/>
          <w:lang w:val="ca-ES"/>
        </w:rPr>
      </w:pPr>
      <w:r>
        <w:rPr>
          <w:rFonts w:cs="Noto Sans" w:ascii="Noto Sans" w:hAnsi="Noto Sans"/>
          <w:lang w:val="ca-ES"/>
        </w:rPr>
      </w:r>
    </w:p>
    <w:p>
      <w:pPr>
        <w:pStyle w:val="Normal"/>
        <w:suppressAutoHyphens w:val="true"/>
        <w:spacing w:lineRule="auto" w:line="240" w:before="0" w:after="0"/>
        <w:rPr/>
      </w:pPr>
      <w:r>
        <w:rPr>
          <w:rFonts w:cs="Noto Sans" w:ascii="Noto Sans" w:hAnsi="Noto Sans"/>
          <w:bCs/>
          <w:lang w:val="ca-ES"/>
        </w:rPr>
        <w:t>Signatura del representant legal</w:t>
      </w:r>
    </w:p>
    <w:sectPr>
      <w:headerReference w:type="default" r:id="rId2"/>
      <w:headerReference w:type="first" r:id="rId3"/>
      <w:footerReference w:type="default" r:id="rId4"/>
      <w:type w:val="nextPage"/>
      <w:pgSz w:w="11906" w:h="16838"/>
      <w:pgMar w:left="1701" w:right="1701" w:header="708" w:top="1417" w:footer="708" w:bottom="1417" w:gutter="0"/>
      <w:pgNumType w:fmt="decimal"/>
      <w:formProt w:val="false"/>
      <w:titlePg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Noto Sans">
    <w:charset w:val="00"/>
    <w:family w:val="roman"/>
    <w:pitch w:val="variable"/>
  </w:font>
  <w:font w:name="Noto Sans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1"/>
      <w:ind w:left="-851" w:hanging="0"/>
      <w:rPr>
        <w:rFonts w:ascii="Noto Sans" w:hAnsi="Noto Sans" w:cs="Noto Sans"/>
        <w:sz w:val="16"/>
        <w:szCs w:val="16"/>
        <w:lang w:val="ca-ES"/>
      </w:rPr>
    </w:pPr>
    <w:r>
      <w:rPr>
        <w:rFonts w:cs="Noto Sans" w:ascii="Noto Sans" w:hAnsi="Noto Sans"/>
        <w:sz w:val="16"/>
        <w:szCs w:val="16"/>
        <w:lang w:val="ca-ES"/>
      </w:rPr>
    </w:r>
  </w:p>
  <w:p>
    <w:pPr>
      <w:pStyle w:val="Piedepgina1"/>
      <w:ind w:left="-851" w:hanging="0"/>
      <w:rPr>
        <w:rFonts w:ascii="Noto Sans" w:hAnsi="Noto Sans" w:cs="Noto Sans"/>
        <w:sz w:val="16"/>
        <w:szCs w:val="16"/>
        <w:lang w:val="ca-ES"/>
      </w:rPr>
    </w:pPr>
    <w:r>
      <w:rPr>
        <w:rFonts w:cs="Noto Sans" w:ascii="Noto Sans" w:hAnsi="Noto Sans"/>
        <w:sz w:val="16"/>
        <w:szCs w:val="16"/>
        <w:lang w:val="ca-ES"/>
      </w:rPr>
      <w:t>Carrer de Sant Pere, 7</w:t>
    </w:r>
  </w:p>
  <w:p>
    <w:pPr>
      <w:pStyle w:val="Piedepgina1"/>
      <w:ind w:left="-851" w:hanging="0"/>
      <w:rPr>
        <w:rFonts w:ascii="Noto Sans" w:hAnsi="Noto Sans" w:cs="Noto Sans"/>
        <w:sz w:val="16"/>
        <w:szCs w:val="16"/>
        <w:lang w:val="ca-ES"/>
      </w:rPr>
    </w:pPr>
    <w:r>
      <w:rPr>
        <w:rFonts w:cs="Noto Sans" w:ascii="Noto Sans" w:hAnsi="Noto Sans"/>
        <w:sz w:val="16"/>
        <w:szCs w:val="16"/>
        <w:lang w:val="ca-ES"/>
      </w:rPr>
      <w:t xml:space="preserve">07012 Palma </w:t>
    </w:r>
  </w:p>
  <w:p>
    <w:pPr>
      <w:pStyle w:val="Piedepgina1"/>
      <w:ind w:left="-851" w:hanging="0"/>
      <w:rPr>
        <w:rFonts w:ascii="Noto Sans" w:hAnsi="Noto Sans" w:cs="Noto Sans"/>
        <w:sz w:val="16"/>
        <w:szCs w:val="16"/>
        <w:lang w:val="ca-ES"/>
      </w:rPr>
    </w:pPr>
    <w:r>
      <w:rPr>
        <w:rFonts w:cs="Noto Sans" w:ascii="Noto Sans" w:hAnsi="Noto Sans"/>
        <w:sz w:val="16"/>
        <w:szCs w:val="16"/>
        <w:lang w:val="ca-ES"/>
      </w:rPr>
      <w:t>Tel. 971 17 77 00</w:t>
    </w:r>
  </w:p>
  <w:p>
    <w:pPr>
      <w:pStyle w:val="Piedepgina1"/>
      <w:ind w:left="-851" w:hanging="0"/>
      <w:rPr>
        <w:rFonts w:ascii="Noto Sans" w:hAnsi="Noto Sans" w:cs="Noto Sans"/>
        <w:sz w:val="16"/>
        <w:szCs w:val="16"/>
      </w:rPr>
    </w:pPr>
    <w:r>
      <w:rPr>
        <w:rFonts w:cs="Noto Sans" w:ascii="Noto Sans" w:hAnsi="Noto Sans"/>
        <w:color w:val="C30045"/>
        <w:sz w:val="16"/>
        <w:szCs w:val="16"/>
        <w:lang w:val="ca-ES"/>
      </w:rPr>
      <w:t>dgmad.caib.es</w:t>
    </w:r>
  </w:p>
  <w:p>
    <w:pPr>
      <w:pStyle w:val="Piedepgina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Encabezado1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-613410</wp:posOffset>
          </wp:positionH>
          <wp:positionV relativeFrom="paragraph">
            <wp:posOffset>-135255</wp:posOffset>
          </wp:positionV>
          <wp:extent cx="542925" cy="1590675"/>
          <wp:effectExtent l="0" t="0" r="0" b="0"/>
          <wp:wrapNone/>
          <wp:docPr id="1" name="2 Imagen" descr="Govern_simplifica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 Imagen" descr="Govern_simplificat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1590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Encabezado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aconcuadrcula"/>
      <w:tblW w:w="10470" w:type="dxa"/>
      <w:jc w:val="left"/>
      <w:tblInd w:w="-609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2810"/>
      <w:gridCol w:w="2500"/>
      <w:gridCol w:w="2738"/>
      <w:gridCol w:w="2421"/>
    </w:tblGrid>
    <w:tr>
      <w:trPr>
        <w:trHeight w:val="639" w:hRule="atLeast"/>
      </w:trPr>
      <w:tc>
        <w:tcPr>
          <w:tcW w:w="2810" w:type="dxa"/>
          <w:vMerge w:val="restart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Encabezado1"/>
            <w:widowControl w:val="false"/>
            <w:tabs>
              <w:tab w:val="left" w:pos="708" w:leader="none"/>
              <w:tab w:val="center" w:pos="4252" w:leader="none"/>
              <w:tab w:val="right" w:pos="8504" w:leader="none"/>
            </w:tabs>
            <w:ind w:left="859" w:hanging="0"/>
            <w:rPr>
              <w:rFonts w:ascii="Calibri" w:hAnsi="Calibri" w:eastAsia="Calibri"/>
            </w:rPr>
          </w:pPr>
          <w:r>
            <w:rPr/>
            <w:drawing>
              <wp:inline distT="0" distB="0" distL="0" distR="0">
                <wp:extent cx="1104900" cy="800100"/>
                <wp:effectExtent l="0" t="0" r="0" b="0"/>
                <wp:docPr id="2" name="Imagen 17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7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33" t="-45" r="-33" b="-4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>
          <w:pPr>
            <w:pStyle w:val="Encabezado1"/>
            <w:widowControl w:val="false"/>
            <w:tabs>
              <w:tab w:val="clear" w:pos="8504"/>
              <w:tab w:val="center" w:pos="4252" w:leader="none"/>
              <w:tab w:val="right" w:pos="8931" w:leader="none"/>
            </w:tabs>
            <w:rPr>
              <w:rFonts w:ascii="Calibri" w:hAnsi="Calibri" w:eastAsia="Calibri"/>
            </w:rPr>
          </w:pPr>
          <w:r>
            <w:rPr>
              <w:rFonts w:eastAsia="Calibri"/>
            </w:rPr>
          </w:r>
        </w:p>
      </w:tc>
      <w:tc>
        <w:tcPr>
          <w:tcW w:w="2500" w:type="dxa"/>
          <w:vMerge w:val="restart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Encabezado1"/>
            <w:widowControl w:val="false"/>
            <w:tabs>
              <w:tab w:val="clear" w:pos="8504"/>
              <w:tab w:val="center" w:pos="4252" w:leader="none"/>
              <w:tab w:val="right" w:pos="8931" w:leader="none"/>
            </w:tabs>
            <w:jc w:val="center"/>
            <w:rPr>
              <w:rFonts w:ascii="Calibri" w:hAnsi="Calibri" w:eastAsia="Calibri"/>
            </w:rPr>
          </w:pPr>
          <w:r>
            <w:rPr/>
            <w:drawing>
              <wp:inline distT="0" distB="0" distL="0" distR="0">
                <wp:extent cx="1447800" cy="425450"/>
                <wp:effectExtent l="0" t="0" r="0" b="0"/>
                <wp:docPr id="3" name="Imatge1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tge1" descr="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7800" cy="425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38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Encabezado1"/>
            <w:widowControl w:val="false"/>
            <w:tabs>
              <w:tab w:val="clear" w:pos="8504"/>
              <w:tab w:val="center" w:pos="4252" w:leader="none"/>
              <w:tab w:val="right" w:pos="8931" w:leader="none"/>
            </w:tabs>
            <w:jc w:val="center"/>
            <w:rPr>
              <w:rFonts w:ascii="Calibri" w:hAnsi="Calibri" w:eastAsia="Calibri"/>
            </w:rPr>
          </w:pPr>
          <w:r>
            <w:rPr/>
            <w:drawing>
              <wp:inline distT="0" distB="0" distL="0" distR="0">
                <wp:extent cx="1574800" cy="666750"/>
                <wp:effectExtent l="0" t="0" r="0" b="0"/>
                <wp:docPr id="4" name="Imagen 16" descr="PRTRCA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16" descr="PRTRCA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4800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21" w:type="dxa"/>
          <w:vMerge w:val="restart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Encabezado1"/>
            <w:widowControl w:val="false"/>
            <w:tabs>
              <w:tab w:val="clear" w:pos="8504"/>
              <w:tab w:val="center" w:pos="4252" w:leader="none"/>
              <w:tab w:val="right" w:pos="8931" w:leader="none"/>
            </w:tabs>
            <w:jc w:val="center"/>
            <w:rPr>
              <w:rFonts w:ascii="Calibri" w:hAnsi="Calibri" w:eastAsia="Calibri"/>
            </w:rPr>
          </w:pPr>
          <w:r>
            <w:rPr/>
            <w:drawing>
              <wp:inline distT="0" distB="0" distL="0" distR="0">
                <wp:extent cx="1295400" cy="368300"/>
                <wp:effectExtent l="0" t="0" r="0" b="0"/>
                <wp:docPr id="5" name="Imagen 6" descr="UECA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6" descr="UECA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368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>
        <w:trHeight w:val="638" w:hRule="atLeast"/>
      </w:trPr>
      <w:tc>
        <w:tcPr>
          <w:tcW w:w="2810" w:type="dxa"/>
          <w:vMerge w:val="continue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widowControl w:val="false"/>
            <w:spacing w:before="0" w:after="200"/>
            <w:rPr>
              <w:rFonts w:ascii="Calibri" w:hAnsi="Calibri" w:eastAsia="Calibri" w:cs="Mangal"/>
            </w:rPr>
          </w:pPr>
          <w:r>
            <w:rPr>
              <w:rFonts w:eastAsia="Calibri" w:cs="Mangal"/>
            </w:rPr>
          </w:r>
        </w:p>
      </w:tc>
      <w:tc>
        <w:tcPr>
          <w:tcW w:w="2500" w:type="dxa"/>
          <w:vMerge w:val="continue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widowControl w:val="false"/>
            <w:spacing w:before="0" w:after="200"/>
            <w:rPr>
              <w:rFonts w:ascii="Calibri" w:hAnsi="Calibri" w:eastAsia="Calibri" w:cs="Mangal"/>
            </w:rPr>
          </w:pPr>
          <w:r>
            <w:rPr>
              <w:rFonts w:eastAsia="Calibri" w:cs="Mangal"/>
            </w:rPr>
          </w:r>
        </w:p>
      </w:tc>
      <w:tc>
        <w:tcPr>
          <w:tcW w:w="2738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Encabezado1"/>
            <w:widowControl w:val="false"/>
            <w:tabs>
              <w:tab w:val="clear" w:pos="8504"/>
              <w:tab w:val="center" w:pos="4252" w:leader="none"/>
              <w:tab w:val="right" w:pos="8931" w:leader="none"/>
            </w:tabs>
            <w:jc w:val="center"/>
            <w:rPr>
              <w:kern w:val="2"/>
              <w:lang w:eastAsia="es-ES"/>
            </w:rPr>
          </w:pPr>
          <w:r>
            <w:rPr/>
            <w:drawing>
              <wp:inline distT="0" distB="0" distL="0" distR="0">
                <wp:extent cx="1581150" cy="368300"/>
                <wp:effectExtent l="0" t="0" r="0" b="0"/>
                <wp:docPr id="6" name="Imagen 1" descr="file:///C:/Users/u02906/Downloads/Logo%20Ministerio-3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1" descr="file:///C:/Users/u02906/Downloads/Logo%20Ministerio-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368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21" w:type="dxa"/>
          <w:vMerge w:val="continue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widowControl w:val="false"/>
            <w:spacing w:before="0" w:after="200"/>
            <w:rPr>
              <w:rFonts w:ascii="Calibri" w:hAnsi="Calibri" w:eastAsia="Calibri" w:cs="Mangal"/>
            </w:rPr>
          </w:pPr>
          <w:r>
            <w:rPr>
              <w:rFonts w:eastAsia="Calibri" w:cs="Mangal"/>
            </w:rPr>
          </w:r>
        </w:p>
      </w:tc>
    </w:tr>
  </w:tbl>
  <w:p>
    <w:pPr>
      <w:pStyle w:val="Encabezado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Roman"/>
      <w:lvlText w:val="%1)"/>
      <w:lvlJc w:val="left"/>
      <w:pPr>
        <w:tabs>
          <w:tab w:val="num" w:pos="0"/>
        </w:tabs>
        <w:ind w:left="1440" w:hanging="720"/>
      </w:pPr>
      <w:rPr>
        <w:sz w:val="18"/>
        <w:rFonts w:eastAsia="Calibri" w:cs="Noto San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>
    <w:lvl w:ilvl="0">
      <w:start w:val="1"/>
      <w:numFmt w:val="bullet"/>
      <w:lvlText w:val="—"/>
      <w:lvlJc w:val="left"/>
      <w:pPr>
        <w:tabs>
          <w:tab w:val="num" w:pos="0"/>
        </w:tabs>
        <w:ind w:left="720" w:hanging="360"/>
      </w:pPr>
      <w:rPr>
        <w:rFonts w:ascii="Noto Sans" w:hAnsi="Noto Sans" w:cs="Noto San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1bf5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1"/>
    <w:uiPriority w:val="99"/>
    <w:qFormat/>
    <w:rsid w:val="008a025e"/>
    <w:rPr/>
  </w:style>
  <w:style w:type="character" w:styleId="PiedepginaCar" w:customStyle="1">
    <w:name w:val="Pie de página Car"/>
    <w:basedOn w:val="DefaultParagraphFont"/>
    <w:uiPriority w:val="99"/>
    <w:qFormat/>
    <w:rsid w:val="008a025e"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8a025e"/>
    <w:rPr>
      <w:rFonts w:ascii="Tahoma" w:hAnsi="Tahoma" w:cs="Tahoma"/>
      <w:sz w:val="16"/>
      <w:szCs w:val="16"/>
    </w:rPr>
  </w:style>
  <w:style w:type="character" w:styleId="HTMLconformatoprevioCar" w:customStyle="1">
    <w:name w:val="HTML con formato previo Car"/>
    <w:basedOn w:val="DefaultParagraphFont"/>
    <w:link w:val="HTMLconformatoprevio"/>
    <w:uiPriority w:val="99"/>
    <w:semiHidden/>
    <w:qFormat/>
    <w:rsid w:val="00052d50"/>
    <w:rPr>
      <w:rFonts w:ascii="Courier New" w:hAnsi="Courier New" w:eastAsia="Times New Roman" w:cs="Courier New"/>
      <w:sz w:val="20"/>
      <w:szCs w:val="20"/>
      <w:lang w:eastAsia="es-ES"/>
    </w:rPr>
  </w:style>
  <w:style w:type="character" w:styleId="Y2iqfc" w:customStyle="1">
    <w:name w:val="y2iqfc"/>
    <w:basedOn w:val="DefaultParagraphFont"/>
    <w:qFormat/>
    <w:rsid w:val="00052d50"/>
    <w:rPr/>
  </w:style>
  <w:style w:type="character" w:styleId="Smbolsdenumeraci" w:customStyle="1">
    <w:name w:val="Símbols de numeració"/>
    <w:qFormat/>
    <w:rsid w:val="00605d5b"/>
    <w:rPr/>
  </w:style>
  <w:style w:type="character" w:styleId="EncabezadoCar1" w:customStyle="1">
    <w:name w:val="Encabezado Car1"/>
    <w:basedOn w:val="DefaultParagraphFont"/>
    <w:link w:val="Encabezado"/>
    <w:uiPriority w:val="99"/>
    <w:qFormat/>
    <w:rsid w:val="00116e3e"/>
    <w:rPr/>
  </w:style>
  <w:style w:type="character" w:styleId="PiedepginaCar1" w:customStyle="1">
    <w:name w:val="Pie de página Car1"/>
    <w:basedOn w:val="DefaultParagraphFont"/>
    <w:link w:val="Piedepgina"/>
    <w:uiPriority w:val="99"/>
    <w:qFormat/>
    <w:rsid w:val="00116e3e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d3743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uiPriority w:val="99"/>
    <w:semiHidden/>
    <w:qFormat/>
    <w:rsid w:val="00cd3743"/>
    <w:rPr>
      <w:sz w:val="20"/>
      <w:szCs w:val="20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qFormat/>
    <w:rsid w:val="00cd3743"/>
    <w:rPr>
      <w:b/>
      <w:bCs/>
      <w:sz w:val="20"/>
      <w:szCs w:val="20"/>
    </w:rPr>
  </w:style>
  <w:style w:type="paragraph" w:styleId="Encapalament" w:customStyle="1">
    <w:name w:val="Encapçalament"/>
    <w:basedOn w:val="Normal"/>
    <w:next w:val="Cosdeltext"/>
    <w:qFormat/>
    <w:rsid w:val="00605d5b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sdeltext">
    <w:name w:val="Body Text"/>
    <w:basedOn w:val="Normal"/>
    <w:rsid w:val="00605d5b"/>
    <w:pPr>
      <w:spacing w:before="0" w:after="140"/>
    </w:pPr>
    <w:rPr/>
  </w:style>
  <w:style w:type="paragraph" w:styleId="Llista">
    <w:name w:val="List"/>
    <w:basedOn w:val="Cosdeltext"/>
    <w:rsid w:val="00605d5b"/>
    <w:pPr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ex" w:customStyle="1">
    <w:name w:val="Índex"/>
    <w:basedOn w:val="Normal"/>
    <w:qFormat/>
    <w:rsid w:val="00605d5b"/>
    <w:pPr>
      <w:suppressLineNumbers/>
    </w:pPr>
    <w:rPr>
      <w:rFonts w:cs="Arial"/>
    </w:rPr>
  </w:style>
  <w:style w:type="paragraph" w:styleId="Descripcin1" w:customStyle="1">
    <w:name w:val="Descripción1"/>
    <w:basedOn w:val="Normal"/>
    <w:qFormat/>
    <w:rsid w:val="00605d5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aleraipeu" w:customStyle="1">
    <w:name w:val="Capçalera i peu"/>
    <w:basedOn w:val="Normal"/>
    <w:qFormat/>
    <w:rsid w:val="00605d5b"/>
    <w:pPr/>
    <w:rPr/>
  </w:style>
  <w:style w:type="paragraph" w:styleId="Encabezado1" w:customStyle="1">
    <w:name w:val="Encabezado1"/>
    <w:basedOn w:val="Normal"/>
    <w:link w:val="EncabezadoCar"/>
    <w:uiPriority w:val="99"/>
    <w:unhideWhenUsed/>
    <w:qFormat/>
    <w:rsid w:val="008a025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1" w:customStyle="1">
    <w:name w:val="Pie de página1"/>
    <w:basedOn w:val="Normal"/>
    <w:qFormat/>
    <w:rsid w:val="00553ffb"/>
    <w:pPr>
      <w:widowControl w:val="false"/>
      <w:spacing w:lineRule="atLeast" w:line="220" w:before="0" w:after="0"/>
    </w:pPr>
    <w:rPr>
      <w:rFonts w:ascii="Calibri" w:hAnsi="Calibri" w:eastAsia="Times New Roman" w:cs="Bariol Regular"/>
      <w:sz w:val="15"/>
      <w:szCs w:val="15"/>
      <w:lang w:eastAsia="es-ES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8a025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4f4e"/>
    <w:pPr>
      <w:spacing w:before="0" w:after="200"/>
      <w:ind w:left="720" w:hanging="0"/>
      <w:contextualSpacing/>
    </w:pPr>
    <w:rPr/>
  </w:style>
  <w:style w:type="paragraph" w:styleId="HTMLPreformatted">
    <w:name w:val="HTML Preformatted"/>
    <w:basedOn w:val="Normal"/>
    <w:link w:val="HTMLconformatoprevioCar"/>
    <w:uiPriority w:val="99"/>
    <w:semiHidden/>
    <w:unhideWhenUsed/>
    <w:qFormat/>
    <w:rsid w:val="00052d50"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es-ES"/>
    </w:rPr>
  </w:style>
  <w:style w:type="paragraph" w:styleId="Capalera">
    <w:name w:val="Header"/>
    <w:basedOn w:val="Normal"/>
    <w:link w:val="EncabezadoCar1"/>
    <w:uiPriority w:val="99"/>
    <w:unhideWhenUsed/>
    <w:rsid w:val="00116e3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eudepgina">
    <w:name w:val="Footer"/>
    <w:basedOn w:val="Normal"/>
    <w:link w:val="PiedepginaCar1"/>
    <w:uiPriority w:val="99"/>
    <w:unhideWhenUsed/>
    <w:rsid w:val="00116e3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xtocomentarioCar"/>
    <w:uiPriority w:val="99"/>
    <w:semiHidden/>
    <w:unhideWhenUsed/>
    <w:qFormat/>
    <w:rsid w:val="00cd374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cd3743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8a025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jpeg"/><Relationship Id="rId4" Type="http://schemas.openxmlformats.org/officeDocument/2006/relationships/image" Target="media/image5.jpeg"/><Relationship Id="rId5" Type="http://schemas.openxmlformats.org/officeDocument/2006/relationships/image" Target="media/image6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LibreOffice/7.0.6.2$Windows_x86 LibreOffice_project/144abb84a525d8e30c9dbbefa69cbbf2d8d4ae3b</Application>
  <AppVersion>15.0000</AppVersion>
  <Pages>3</Pages>
  <Words>1186</Words>
  <Characters>6484</Characters>
  <CharactersWithSpaces>7638</CharactersWithSpaces>
  <Paragraphs>37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2022-06-30T09:30:00Z</dcterms:created>
  <dc:creator>Jaume Vicens Barceló</dc:creator>
  <dc:description/>
  <dc:language>es-ES</dc:language>
  <cp:lastModifiedBy/>
  <dcterms:modified xsi:type="dcterms:W3CDTF">2022-08-16T10:24:11Z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