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A7F" w:rsidRDefault="00EC6A7F" w:rsidP="004E7369">
      <w:pPr>
        <w:keepNext/>
        <w:spacing w:before="100" w:beforeAutospacing="1" w:after="100" w:afterAutospacing="1"/>
        <w:outlineLvl w:val="2"/>
        <w:rPr>
          <w:rFonts w:eastAsia="Times New Roman" w:cs="Noto Sans"/>
          <w:b/>
          <w:bCs/>
          <w:color w:val="000000"/>
          <w:lang w:eastAsia="es-ES"/>
        </w:rPr>
      </w:pPr>
      <w:r>
        <w:rPr>
          <w:rFonts w:eastAsia="Times New Roman" w:cs="Noto Sans"/>
          <w:b/>
          <w:bCs/>
          <w:color w:val="000000"/>
          <w:lang w:eastAsia="es-ES"/>
        </w:rPr>
        <w:t>VERSIÓ CONSOLIDADA</w:t>
      </w:r>
      <w:r w:rsidR="00144CD3">
        <w:rPr>
          <w:rFonts w:eastAsia="Times New Roman" w:cs="Noto Sans"/>
          <w:b/>
          <w:bCs/>
          <w:color w:val="000000"/>
          <w:lang w:eastAsia="es-ES"/>
        </w:rPr>
        <w:t xml:space="preserve"> (Sense validesa jurídica)</w:t>
      </w:r>
    </w:p>
    <w:p w:rsidR="00EC6A7F" w:rsidRDefault="00EC6A7F" w:rsidP="004E7369">
      <w:pPr>
        <w:keepNext/>
        <w:spacing w:before="100" w:beforeAutospacing="1" w:after="100" w:afterAutospacing="1"/>
        <w:outlineLvl w:val="2"/>
        <w:rPr>
          <w:rFonts w:eastAsia="Times New Roman" w:cs="Noto Sans"/>
          <w:b/>
          <w:bCs/>
          <w:color w:val="000000"/>
          <w:lang w:eastAsia="es-ES"/>
        </w:rPr>
      </w:pPr>
    </w:p>
    <w:p w:rsidR="00523367" w:rsidRDefault="00523367" w:rsidP="004E7369">
      <w:pPr>
        <w:keepNext/>
        <w:spacing w:before="100" w:beforeAutospacing="1" w:after="100" w:afterAutospacing="1"/>
        <w:outlineLvl w:val="2"/>
        <w:rPr>
          <w:rFonts w:eastAsia="Times New Roman" w:cs="Noto Sans"/>
          <w:b/>
          <w:bCs/>
          <w:color w:val="000000"/>
          <w:lang w:eastAsia="es-ES"/>
        </w:rPr>
      </w:pPr>
      <w:r>
        <w:rPr>
          <w:rFonts w:eastAsia="Times New Roman" w:cs="Noto Sans"/>
          <w:b/>
          <w:bCs/>
          <w:color w:val="000000"/>
          <w:lang w:eastAsia="es-ES"/>
        </w:rPr>
        <w:t>DOCUMENT DE TREBALL</w:t>
      </w:r>
    </w:p>
    <w:p w:rsidR="00EC6A7F" w:rsidRDefault="00EC6A7F" w:rsidP="004E7369">
      <w:pPr>
        <w:keepNext/>
        <w:spacing w:before="100" w:beforeAutospacing="1" w:after="100" w:afterAutospacing="1"/>
        <w:outlineLvl w:val="2"/>
        <w:rPr>
          <w:rFonts w:eastAsia="Times New Roman" w:cs="Noto Sans"/>
          <w:b/>
          <w:bCs/>
          <w:color w:val="000000"/>
          <w:lang w:eastAsia="es-ES"/>
        </w:rPr>
      </w:pPr>
    </w:p>
    <w:p w:rsidR="001A7AF7" w:rsidRPr="001A7AF7" w:rsidRDefault="004E7369" w:rsidP="004E7369">
      <w:pPr>
        <w:keepNext/>
        <w:spacing w:before="100" w:beforeAutospacing="1" w:after="100" w:afterAutospacing="1"/>
        <w:outlineLvl w:val="2"/>
        <w:rPr>
          <w:rFonts w:eastAsia="Times New Roman" w:cs="Noto Sans"/>
          <w:b/>
          <w:bCs/>
          <w:color w:val="000000"/>
          <w:lang w:eastAsia="es-ES"/>
        </w:rPr>
      </w:pPr>
      <w:r w:rsidRPr="004E7369">
        <w:rPr>
          <w:rFonts w:eastAsia="Times New Roman" w:cs="Noto Sans"/>
          <w:b/>
          <w:bCs/>
          <w:color w:val="000000"/>
          <w:lang w:eastAsia="es-ES"/>
        </w:rPr>
        <w:t>Acord del Consell de Govern de 12 de juliol de 2013 pel qual s’aplica la previsió de l’article 83.2 del Text refós de la Llei de finances respecte a l’exercici de la funció interventora en règim de fiscalització prèvia limitada</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L’article 83.2 del Text refós de la Llei de finances de la Comunitat Autònoma de les Illes Balears, aprovat pel Decret legislatiu 1/2005, de 24 de juny, determina que el Consell de Govern, a proposta del conseller competent en matèria d’hisenda i pressuposts i amb l’informe previ de la Intervenció General, pot limitar la fiscalització prèvia de determinades despeses a la comprovació dels aspectes següents:</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L’existència de crèdit pressupostari adequat i suficient.</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Que les despeses o obligacions les generi l’òrgan competent.</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El compliment de les normes aplicables als expedients relatius a despeses de caràcter pluriennal.</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El compliment de les normes sobre publicitat i concurrència aplicables als expedients relatius a provisió de llocs de treball, subvencions i inversions reals.</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Els altres aspectes que, per la seva transcendència en el procés de gestió, així es determinin per a cada tipus d’expedient de despesa.</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L’article 22 del Decret 62/2006, de 7 de juliol, que regula el règim de control intern que ha d’exercir la Intervenció General de la Comunitat Autònoma de les Illes Balears, desplega alguns aspectes d’aquest règim de fiscalització prèvia limitada, sempre que el Consell de Govern faci un ús efectiu de la facultat que li atribueix l’article 83.2 del Text refós de la Llei de finances.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 xml:space="preserve">El darrer acord de Consell de Govern pel qual es va aplicar l’article 26 de la Llei 10/1987, de 29 de desembre, de pressuposts generals de la Comunitat Autònoma de les Illes Balears per al 1988, i l’article 80 del Decret 75/2004, de 27 d’agost, de desplegament de determinats aspectes de la Llei de finances i de les lleis de pressuposts generals de la Comunitat Autònoma de les Illes Balears, normes d’aplicació en aquell moment, va ser aprovat en la sessió de dia 17 de desembre de </w:t>
      </w:r>
      <w:r w:rsidRPr="001A7AF7">
        <w:rPr>
          <w:rFonts w:eastAsia="Times New Roman" w:cs="Noto Sans"/>
          <w:color w:val="000000"/>
          <w:lang w:eastAsia="es-ES"/>
        </w:rPr>
        <w:lastRenderedPageBreak/>
        <w:t>2004, i posteriorment modificat puntualment mitjançant un acord de 26 de novembre de 2010.</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lang w:eastAsia="es-ES"/>
        </w:rPr>
        <w:t>Des de l’aprovació de l’Acord esmentat, actualment vigent, s’han produït importants reformes normatives que justifiquen la necessitat d’adaptar-l’hi, sens perjudici d’incorporar-hi alguns aspectes fruit de l’anàlisi i l’experiència adquirida en determinats tipus de despeses.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lang w:eastAsia="es-ES"/>
        </w:rPr>
        <w:t xml:space="preserve">Entre les noves disposicions aprovades, es pot destacar les que afecten l’àmbit contractual: el Text refós de la Llei de contractes del sector públic, aprovat pel Reial decret legislatiu 3/2011, de 14 de novembre, i la Llei 6/2010, de 17 de juny, per la qual s’adopten mesures urgents per a la reducció del dèficit públic. Entre aquestes mesures es pot destacar l’exigència de sol·licitar un informe a la conselleria competent en matèria d’hisenda i pressuposts abans d’aprovar l’expedient corresponent a la preparació dels contractes de col·laboració </w:t>
      </w:r>
      <w:proofErr w:type="spellStart"/>
      <w:r w:rsidRPr="001A7AF7">
        <w:rPr>
          <w:rFonts w:eastAsia="Times New Roman" w:cs="Noto Sans"/>
          <w:lang w:eastAsia="es-ES"/>
        </w:rPr>
        <w:t>p</w:t>
      </w:r>
      <w:r w:rsidR="00FD74AD">
        <w:rPr>
          <w:rFonts w:eastAsia="Times New Roman" w:cs="Noto Sans"/>
          <w:lang w:eastAsia="es-ES"/>
        </w:rPr>
        <w:t>u</w:t>
      </w:r>
      <w:r w:rsidRPr="001A7AF7">
        <w:rPr>
          <w:rFonts w:eastAsia="Times New Roman" w:cs="Noto Sans"/>
          <w:lang w:eastAsia="es-ES"/>
        </w:rPr>
        <w:t>blicoprivada</w:t>
      </w:r>
      <w:proofErr w:type="spellEnd"/>
      <w:r w:rsidRPr="001A7AF7">
        <w:rPr>
          <w:rFonts w:eastAsia="Times New Roman" w:cs="Noto Sans"/>
          <w:lang w:eastAsia="es-ES"/>
        </w:rPr>
        <w:t xml:space="preserve"> o de concessió d’obres.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En l’àmbit de l’activitat de foment, la Llei 5/2002, de 21 de juny, de subvencions, aprovada pel Parlament de les Illes Balears, va ser derogada expressament pel Decret legislatiu 2/2005, de 28 de desembre, pel qual s’aprova el text refós de la Llei de subvencions, text que ha estat modificat diverses vegades en relació amb la concessió directa de subvencions.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Aquestes modificacions normatives fan necessari dictar un nou acord i deixar sense efecte l’Acord del Consell de Govern de dia 17 de desembre de 2004, esmentat abans.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Dia 13 de juny de 2013, la Intervenció General, complint el mandat que estableix l’article 83.2 del Text refós de la Llei de finances, va emetre un informe relatiu a la necessitat de dictar un nou acord que s’adapti a les modificacions normatives en matèria de contractes i en altres matèries que s’han produït des de l’any 2004.</w:t>
      </w:r>
    </w:p>
    <w:p w:rsidR="00DB40ED" w:rsidRDefault="001576B3" w:rsidP="007327D0">
      <w:pPr>
        <w:spacing w:before="180" w:after="180"/>
        <w:rPr>
          <w:rFonts w:eastAsia="Times New Roman" w:cs="Noto Sans"/>
          <w:color w:val="000000"/>
          <w:lang w:eastAsia="es-ES"/>
        </w:rPr>
      </w:pPr>
      <w:r>
        <w:rPr>
          <w:rFonts w:eastAsia="Times New Roman" w:cs="Noto Sans"/>
          <w:color w:val="000000"/>
          <w:lang w:eastAsia="es-ES"/>
        </w:rPr>
        <w:t>Per tot això, el Consell de Govern, a proposta del conseller d’Hisenda i Pressuposts, en la sessió de 12 de juliol de 2013, adoptà, entre d’altres, l’Acord següent:</w:t>
      </w:r>
    </w:p>
    <w:p w:rsidR="00DB40ED" w:rsidRDefault="00DB40ED" w:rsidP="007327D0">
      <w:pPr>
        <w:spacing w:before="180" w:after="180"/>
        <w:rPr>
          <w:rFonts w:eastAsia="Times New Roman" w:cs="Noto Sans"/>
          <w:color w:val="000000"/>
          <w:lang w:eastAsia="es-ES"/>
        </w:rPr>
      </w:pP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w:t>
      </w:r>
      <w:r w:rsidRPr="001A7AF7">
        <w:rPr>
          <w:rFonts w:eastAsia="Times New Roman" w:cs="Noto Sans"/>
          <w:b/>
          <w:bCs/>
          <w:color w:val="000000"/>
          <w:lang w:eastAsia="es-ES"/>
        </w:rPr>
        <w:t>Primer.</w:t>
      </w:r>
      <w:r w:rsidRPr="001A7AF7">
        <w:rPr>
          <w:rFonts w:eastAsia="Times New Roman" w:cs="Noto Sans"/>
          <w:color w:val="000000"/>
          <w:lang w:eastAsia="es-ES"/>
        </w:rPr>
        <w:t xml:space="preserve"> Ordenar la fiscalització prèvia limitada dels expedients de despesa i de les operacions no pressupostàries mitjançant la comprovació dels aspectes següents:</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Que hi ha crèdit pressupostari i que el que es proposa és adequat a la naturalesa de l’obligació que s’ha de contreure.</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En operacions </w:t>
      </w:r>
      <w:proofErr w:type="spellStart"/>
      <w:r w:rsidRPr="001A7AF7">
        <w:rPr>
          <w:rFonts w:eastAsia="Times New Roman" w:cs="Noto Sans"/>
          <w:color w:val="000000"/>
          <w:lang w:eastAsia="es-ES"/>
        </w:rPr>
        <w:t>extrapressupostàries</w:t>
      </w:r>
      <w:proofErr w:type="spellEnd"/>
      <w:r w:rsidRPr="001A7AF7">
        <w:rPr>
          <w:rFonts w:eastAsia="Times New Roman" w:cs="Noto Sans"/>
          <w:color w:val="000000"/>
          <w:lang w:eastAsia="es-ES"/>
        </w:rPr>
        <w:t>, que el compte a què es pretenen imputar l’expedient o el document és el que correspon, atès el pla de comptabilitat de la Comunitat Autònoma.</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En els casos en què es tracti d’adquirir un compromís pluriennal, que es compleixen els requisits que estableix per a aquest tipus de despesa la normativa pressupostària vigent aplicable.</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Que les obligacions o despeses són generades per l’òrgan competent.</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Que es compleixen les normes de publicitat i concurrència que siguin aplicables als expedients de despesa corresponents.</w:t>
      </w:r>
    </w:p>
    <w:p w:rsidR="00DB40ED" w:rsidRPr="001A7AF7" w:rsidRDefault="00DB40ED" w:rsidP="00DB40ED">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f)</w:t>
      </w:r>
      <w:r w:rsidRPr="001A7AF7">
        <w:rPr>
          <w:rFonts w:eastAsia="Times New Roman" w:cs="Noto Sans"/>
          <w:color w:val="000000"/>
          <w:lang w:eastAsia="es-ES"/>
        </w:rPr>
        <w:t xml:space="preserve"> Els altres aspectes generals i addicionals que per la seva transcendència en el procés de gestió així es determina per a cada tipus d’expedient de despesa en l’annex d’aquest Acord.</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 </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b/>
          <w:bCs/>
          <w:color w:val="000000"/>
          <w:lang w:eastAsia="es-ES"/>
        </w:rPr>
        <w:t>Segon.</w:t>
      </w:r>
      <w:r w:rsidRPr="001A7AF7">
        <w:rPr>
          <w:rFonts w:eastAsia="Times New Roman" w:cs="Noto Sans"/>
          <w:color w:val="000000"/>
          <w:lang w:eastAsia="es-ES"/>
        </w:rPr>
        <w:t xml:space="preserve"> Aprovar l’annex d’aquest Acord sobre els aspectes concrets de la fiscalització prèvia limitada dels expedients de despesa i de les operacions no pressupostàries.</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 </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b/>
          <w:bCs/>
          <w:color w:val="000000"/>
          <w:lang w:eastAsia="es-ES"/>
        </w:rPr>
        <w:t>Tercer.</w:t>
      </w:r>
      <w:r w:rsidRPr="001A7AF7">
        <w:rPr>
          <w:rFonts w:eastAsia="Times New Roman" w:cs="Noto Sans"/>
          <w:color w:val="000000"/>
          <w:lang w:eastAsia="es-ES"/>
        </w:rPr>
        <w:t xml:space="preserve"> Ordenar que aquest Acord s’apliqui als expedients que s’enviïn a fiscalitzar a partir de l’1 d’agost de 2013.</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 </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b/>
          <w:bCs/>
          <w:color w:val="000000"/>
          <w:lang w:eastAsia="es-ES"/>
        </w:rPr>
        <w:t>Quart.</w:t>
      </w:r>
      <w:r w:rsidRPr="001A7AF7">
        <w:rPr>
          <w:rFonts w:eastAsia="Times New Roman" w:cs="Noto Sans"/>
          <w:color w:val="000000"/>
          <w:lang w:eastAsia="es-ES"/>
        </w:rPr>
        <w:t xml:space="preserve"> Deixar sense efecte l’Acord del Consell de Govern de 17 de desembre de 2004 pel qual s’aplica la previsió de l’article 83.2 del Text refós de la Llei de finances respecte a l’exercici de la funció interventora en règim de fiscalització prèvia limitada.</w:t>
      </w:r>
    </w:p>
    <w:p w:rsidR="00DB40ED" w:rsidRPr="001A7AF7" w:rsidRDefault="00DB40ED" w:rsidP="00DB40ED">
      <w:pPr>
        <w:spacing w:before="180" w:after="180"/>
        <w:rPr>
          <w:rFonts w:eastAsia="Times New Roman" w:cs="Noto Sans"/>
          <w:color w:val="000000"/>
          <w:lang w:eastAsia="es-ES"/>
        </w:rPr>
      </w:pPr>
      <w:r w:rsidRPr="001A7AF7">
        <w:rPr>
          <w:rFonts w:eastAsia="Times New Roman" w:cs="Noto Sans"/>
          <w:color w:val="000000"/>
          <w:lang w:eastAsia="es-ES"/>
        </w:rPr>
        <w:t> </w:t>
      </w:r>
    </w:p>
    <w:p w:rsidR="00DB40ED" w:rsidRDefault="00DB40ED" w:rsidP="00DB40ED">
      <w:pPr>
        <w:spacing w:before="180" w:after="180"/>
        <w:rPr>
          <w:rFonts w:eastAsia="Times New Roman" w:cs="Noto Sans"/>
          <w:color w:val="000000"/>
          <w:lang w:eastAsia="es-ES"/>
        </w:rPr>
      </w:pPr>
      <w:r w:rsidRPr="001A7AF7">
        <w:rPr>
          <w:rFonts w:eastAsia="Times New Roman" w:cs="Noto Sans"/>
          <w:b/>
          <w:bCs/>
          <w:color w:val="000000"/>
          <w:lang w:eastAsia="es-ES"/>
        </w:rPr>
        <w:t>Cinquè.</w:t>
      </w:r>
      <w:r w:rsidRPr="001A7AF7">
        <w:rPr>
          <w:rFonts w:eastAsia="Times New Roman" w:cs="Noto Sans"/>
          <w:color w:val="000000"/>
          <w:lang w:eastAsia="es-ES"/>
        </w:rPr>
        <w:t xml:space="preserve"> Publicar aquest Acord en el </w:t>
      </w:r>
      <w:r w:rsidRPr="001A7AF7">
        <w:rPr>
          <w:rFonts w:eastAsia="Times New Roman" w:cs="Noto Sans"/>
          <w:i/>
          <w:iCs/>
          <w:color w:val="000000"/>
          <w:lang w:eastAsia="es-ES"/>
        </w:rPr>
        <w:t>Butlletí Oficial de les Illes Balears</w:t>
      </w:r>
      <w:r w:rsidRPr="001A7AF7">
        <w:rPr>
          <w:rFonts w:eastAsia="Times New Roman" w:cs="Noto Sans"/>
          <w:color w:val="000000"/>
          <w:lang w:eastAsia="es-ES"/>
        </w:rPr>
        <w:t>.”</w:t>
      </w:r>
    </w:p>
    <w:p w:rsidR="00EB4B8A" w:rsidRPr="00693E3D" w:rsidRDefault="00EB4B8A" w:rsidP="00EB4B8A">
      <w:pPr>
        <w:pStyle w:val="Default"/>
        <w:rPr>
          <w:rFonts w:ascii="Noto Sans" w:hAnsi="Noto Sans" w:cs="Noto Sans"/>
          <w:sz w:val="22"/>
          <w:szCs w:val="22"/>
          <w:lang w:val="ca-ES"/>
        </w:rPr>
      </w:pPr>
    </w:p>
    <w:p w:rsidR="00DB40ED" w:rsidRDefault="0095220E" w:rsidP="00DB40ED">
      <w:pPr>
        <w:spacing w:before="180" w:after="180"/>
        <w:rPr>
          <w:rFonts w:eastAsia="Times New Roman" w:cs="Noto Sans"/>
          <w:color w:val="000000"/>
          <w:lang w:eastAsia="es-ES"/>
        </w:rPr>
      </w:pPr>
      <w:r>
        <w:rPr>
          <w:rFonts w:eastAsia="Times New Roman" w:cs="Noto Sans"/>
          <w:color w:val="000000"/>
          <w:lang w:eastAsia="es-ES"/>
        </w:rPr>
        <w:t>Palma,</w:t>
      </w:r>
      <w:r w:rsidR="001576B3">
        <w:rPr>
          <w:rFonts w:eastAsia="Times New Roman" w:cs="Noto Sans"/>
          <w:color w:val="000000"/>
          <w:lang w:eastAsia="es-ES"/>
        </w:rPr>
        <w:t xml:space="preserve"> 12 de juliol de 2013</w:t>
      </w:r>
    </w:p>
    <w:p w:rsidR="001576B3" w:rsidRDefault="001576B3" w:rsidP="00DB40ED">
      <w:pPr>
        <w:spacing w:before="180" w:after="180"/>
        <w:rPr>
          <w:rFonts w:eastAsia="Times New Roman" w:cs="Noto Sans"/>
          <w:color w:val="000000"/>
          <w:lang w:eastAsia="es-ES"/>
        </w:rPr>
      </w:pPr>
      <w:r>
        <w:rPr>
          <w:rFonts w:eastAsia="Times New Roman" w:cs="Noto Sans"/>
          <w:color w:val="000000"/>
          <w:lang w:eastAsia="es-ES"/>
        </w:rPr>
        <w:t>El secretari del Consell de Govern</w:t>
      </w:r>
    </w:p>
    <w:p w:rsidR="001576B3" w:rsidRPr="001A7AF7" w:rsidRDefault="001576B3" w:rsidP="00DB40ED">
      <w:pPr>
        <w:spacing w:before="180" w:after="180"/>
        <w:rPr>
          <w:rFonts w:eastAsia="Times New Roman" w:cs="Noto Sans"/>
          <w:color w:val="000000"/>
          <w:lang w:eastAsia="es-ES"/>
        </w:rPr>
      </w:pPr>
      <w:r>
        <w:rPr>
          <w:rFonts w:eastAsia="Times New Roman" w:cs="Noto Sans"/>
          <w:color w:val="000000"/>
          <w:lang w:eastAsia="es-ES"/>
        </w:rPr>
        <w:t>Antonio Gómez Pérez</w:t>
      </w:r>
    </w:p>
    <w:p w:rsidR="00DB40ED" w:rsidRDefault="00DB40ED" w:rsidP="007327D0">
      <w:pPr>
        <w:spacing w:before="180" w:after="180"/>
        <w:rPr>
          <w:rFonts w:eastAsia="Times New Roman" w:cs="Noto Sans"/>
          <w:color w:val="000000"/>
          <w:lang w:eastAsia="es-ES"/>
        </w:rPr>
      </w:pPr>
    </w:p>
    <w:p w:rsidR="00DB40ED" w:rsidRDefault="00DB40ED" w:rsidP="007327D0">
      <w:pPr>
        <w:spacing w:before="180" w:after="180"/>
        <w:rPr>
          <w:rFonts w:eastAsia="Times New Roman" w:cs="Noto Sans"/>
          <w:color w:val="000000"/>
          <w:lang w:eastAsia="es-ES"/>
        </w:rPr>
      </w:pPr>
    </w:p>
    <w:p w:rsidR="00DB40ED" w:rsidRDefault="00DB40ED" w:rsidP="007327D0">
      <w:pPr>
        <w:spacing w:before="180" w:after="180"/>
        <w:rPr>
          <w:rFonts w:eastAsia="Times New Roman" w:cs="Noto Sans"/>
          <w:color w:val="000000"/>
          <w:lang w:eastAsia="es-ES"/>
        </w:rPr>
      </w:pPr>
    </w:p>
    <w:p w:rsidR="000C369A" w:rsidRDefault="000C369A" w:rsidP="007327D0">
      <w:pPr>
        <w:spacing w:before="180" w:after="180"/>
        <w:rPr>
          <w:rFonts w:eastAsia="Times New Roman" w:cs="Noto Sans"/>
          <w:color w:val="000000"/>
          <w:highlight w:val="yellow"/>
          <w:lang w:eastAsia="es-ES"/>
        </w:rPr>
      </w:pPr>
    </w:p>
    <w:p w:rsidR="000C369A" w:rsidRDefault="000C369A" w:rsidP="007327D0">
      <w:pPr>
        <w:spacing w:before="180" w:after="180"/>
        <w:rPr>
          <w:rFonts w:eastAsia="Times New Roman" w:cs="Noto Sans"/>
          <w:color w:val="000000"/>
          <w:highlight w:val="yellow"/>
          <w:lang w:eastAsia="es-ES"/>
        </w:rPr>
      </w:pPr>
    </w:p>
    <w:p w:rsidR="001A7AF7" w:rsidRPr="001A7AF7" w:rsidRDefault="001A7AF7" w:rsidP="001A7AF7">
      <w:pPr>
        <w:jc w:val="center"/>
        <w:rPr>
          <w:rFonts w:eastAsia="Times New Roman" w:cs="Noto Sans"/>
          <w:color w:val="000000"/>
          <w:lang w:eastAsia="es-ES"/>
        </w:rPr>
      </w:pPr>
    </w:p>
    <w:p w:rsidR="007C1384"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w:t>
      </w:r>
    </w:p>
    <w:p w:rsidR="007C1384" w:rsidRDefault="007C1384">
      <w:pPr>
        <w:rPr>
          <w:rFonts w:eastAsia="Times New Roman" w:cs="Noto Sans"/>
          <w:color w:val="000000"/>
          <w:lang w:eastAsia="es-ES"/>
        </w:rPr>
      </w:pPr>
      <w:r>
        <w:rPr>
          <w:rFonts w:eastAsia="Times New Roman" w:cs="Noto Sans"/>
          <w:color w:val="000000"/>
          <w:lang w:eastAsia="es-ES"/>
        </w:rPr>
        <w:br w:type="page"/>
      </w:r>
    </w:p>
    <w:p w:rsidR="001A7AF7" w:rsidRPr="001A7AF7" w:rsidRDefault="001A7AF7" w:rsidP="001A7AF7">
      <w:pPr>
        <w:spacing w:before="180" w:after="180"/>
        <w:rPr>
          <w:rFonts w:eastAsia="Times New Roman" w:cs="Noto Sans"/>
          <w:color w:val="000000"/>
          <w:lang w:eastAsia="es-ES"/>
        </w:rPr>
      </w:pPr>
    </w:p>
    <w:p w:rsidR="001A7AF7" w:rsidRPr="001A7AF7" w:rsidRDefault="001576B3" w:rsidP="001576B3">
      <w:pPr>
        <w:spacing w:before="180" w:after="180"/>
        <w:rPr>
          <w:rFonts w:eastAsia="Times New Roman" w:cs="Noto Sans"/>
          <w:color w:val="000000"/>
          <w:lang w:eastAsia="es-ES"/>
        </w:rPr>
      </w:pPr>
      <w:r>
        <w:rPr>
          <w:rFonts w:eastAsia="Times New Roman" w:cs="Noto Sans"/>
          <w:b/>
          <w:bCs/>
          <w:color w:val="000000"/>
          <w:lang w:eastAsia="es-ES"/>
        </w:rPr>
        <w:t xml:space="preserve">                                                      </w:t>
      </w:r>
      <w:r w:rsidR="001A7AF7" w:rsidRPr="001A7AF7">
        <w:rPr>
          <w:rFonts w:eastAsia="Times New Roman" w:cs="Noto Sans"/>
          <w:b/>
          <w:bCs/>
          <w:color w:val="000000"/>
          <w:lang w:eastAsia="es-ES"/>
        </w:rPr>
        <w:t>Annex</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b/>
          <w:bCs/>
          <w:color w:val="000000"/>
          <w:lang w:eastAsia="es-ES"/>
        </w:rPr>
        <w:t>I.</w:t>
      </w:r>
      <w:r w:rsidRPr="001A7AF7">
        <w:rPr>
          <w:rFonts w:eastAsia="Times New Roman" w:cs="Noto Sans"/>
          <w:color w:val="000000"/>
          <w:lang w:eastAsia="es-ES"/>
        </w:rPr>
        <w:t xml:space="preserve"> </w:t>
      </w:r>
      <w:r w:rsidRPr="001A7AF7">
        <w:rPr>
          <w:rFonts w:eastAsia="Times New Roman" w:cs="Noto Sans"/>
          <w:b/>
          <w:bCs/>
          <w:color w:val="000000"/>
          <w:lang w:eastAsia="es-ES"/>
        </w:rPr>
        <w:t>FISCALITZACIÓ D’EXPEDIENTS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b/>
          <w:bCs/>
          <w:color w:val="000000"/>
          <w:lang w:eastAsia="es-ES"/>
        </w:rPr>
        <w:t>1. Aspectes generals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Amb caràcter general per a tots els expedients de despesa, s’han de comprovar els aspectes següents: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xml:space="preserve">1.1. Els documents comptables que acrediten l’existència de crèdit. En operacions </w:t>
      </w:r>
      <w:proofErr w:type="spellStart"/>
      <w:r w:rsidRPr="001A7AF7">
        <w:rPr>
          <w:rFonts w:eastAsia="Times New Roman" w:cs="Noto Sans"/>
          <w:color w:val="000000"/>
          <w:lang w:eastAsia="es-ES"/>
        </w:rPr>
        <w:t>extrapressupostàries</w:t>
      </w:r>
      <w:proofErr w:type="spellEnd"/>
      <w:r w:rsidRPr="001A7AF7">
        <w:rPr>
          <w:rFonts w:eastAsia="Times New Roman" w:cs="Noto Sans"/>
          <w:color w:val="000000"/>
          <w:lang w:eastAsia="es-ES"/>
        </w:rPr>
        <w:t>, que el compte a què es pretenen imputar l’expedient o el document és el que correspon.</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1.2. Si la despesa s’imputa a l’article 64, el projecte d’inversió immaterial o l’informe del servei que promou la despesa, en els termes que preveu l’article 47.2 del Decret 75/2004, de 27 d’agost, de desplegament de determinats aspectes de la Llei de finances i de les lleis de pressuposts generals de la Comunitat Autònoma de les Illes Balears, o la norma que el substitueixi.</w:t>
      </w:r>
    </w:p>
    <w:p w:rsidR="00B37EB3" w:rsidRPr="00523367" w:rsidRDefault="007A4298" w:rsidP="00523367">
      <w:r>
        <w:rPr>
          <w:color w:val="000000"/>
        </w:rPr>
        <w:t xml:space="preserve">1.3     </w:t>
      </w:r>
      <w:r w:rsidR="00B37EB3" w:rsidRPr="00523367">
        <w:t>En el cas d'expedients de despesa de caràcter pluriennal, documentació acreditativa del compliment dels límits que fixa l'article 65 de la Llei 14/2014, de 29 de desembre, de finances de la Comunitat Autònoma de les Illes Balears, llevat dels casos exceptuats d’aquest compliment. Igualment s’ha de comprovar que consta l'autorització d'imputació de la despesa a exercicis futurs, atorgada pel conseller competent en matèria de pressuposts, dins de les previsions que contengui el pla pressupostari a mitjà termini a què fa referència l'article 33 d'aquesta Llei, i amb  l’informe previ de la direcció general competent en matèria de pressuposts. En cas d'haver estat exceptuat per l'òrgan competent de l'aplicació dels límits que la llei estableix per als compromisos pluriennals, s'ha d'acompanyar del corresponent certificat de l'acord adoptat.</w:t>
      </w:r>
    </w:p>
    <w:p w:rsidR="00B37EB3" w:rsidRPr="00523367" w:rsidRDefault="00B37EB3" w:rsidP="00523367"/>
    <w:p w:rsidR="00B37EB3" w:rsidRPr="00523367" w:rsidRDefault="00B37EB3" w:rsidP="00523367">
      <w:r w:rsidRPr="00523367">
        <w:t xml:space="preserve">1.3. bis. En el cas d'expedients de despesa als quals és </w:t>
      </w:r>
      <w:r w:rsidR="00144CD3">
        <w:t>aplicable</w:t>
      </w:r>
      <w:r w:rsidRPr="00523367">
        <w:t xml:space="preserve"> l'article 69 de la Llei 14/2014, de 29 de desembre, de finances de la Comunitat Autònoma de les Illes Balears, que regula les denominades despeses estructurals i recurrents, aquests s’han d'acompanyar de la documentació acreditativa del compliment dels requisits prevists en aquest precepte. Per tant, han d'incloure l'autorització del conseller competent en matèria d'hisenda i pressuposts; la sol·licitud valorada i motivada de la persona titular de la secció pressupostària corresponent; i l'informe preceptiu de la direcció general competent en matèria de pressuposts.</w:t>
      </w:r>
    </w:p>
    <w:p w:rsidR="00B37EB3" w:rsidRPr="00523367" w:rsidRDefault="00B37EB3" w:rsidP="00B37EB3">
      <w:pPr>
        <w:pStyle w:val="Textoindependiente3"/>
        <w:autoSpaceDE w:val="0"/>
        <w:autoSpaceDN w:val="0"/>
        <w:adjustRightInd w:val="0"/>
        <w:spacing w:after="0"/>
        <w:ind w:left="426" w:hanging="426"/>
        <w:rPr>
          <w:rFonts w:ascii="Noto Sans" w:hAnsi="Noto Sans" w:cs="Noto Sans"/>
          <w:i/>
          <w:spacing w:val="-4"/>
          <w:sz w:val="22"/>
          <w:szCs w:val="22"/>
        </w:rPr>
      </w:pPr>
    </w:p>
    <w:p w:rsidR="001A7AF7" w:rsidRPr="001A7AF7" w:rsidRDefault="001A7AF7" w:rsidP="001A7AF7">
      <w:pPr>
        <w:spacing w:before="180" w:after="180"/>
        <w:rPr>
          <w:rFonts w:eastAsia="Times New Roman" w:cs="Noto Sans"/>
          <w:color w:val="000000"/>
          <w:lang w:eastAsia="es-ES"/>
        </w:rPr>
      </w:pPr>
      <w:r w:rsidRPr="00523367">
        <w:rPr>
          <w:rFonts w:eastAsia="Times New Roman" w:cs="Noto Sans"/>
          <w:color w:val="000000"/>
          <w:lang w:eastAsia="es-ES"/>
        </w:rPr>
        <w:t>1.4. Si la despesa ha de ser sotmesa a la consideració del Consell de Govern</w:t>
      </w:r>
      <w:r w:rsidRPr="001A7AF7">
        <w:rPr>
          <w:rFonts w:eastAsia="Times New Roman" w:cs="Noto Sans"/>
          <w:color w:val="000000"/>
          <w:lang w:eastAsia="es-ES"/>
        </w:rPr>
        <w:t xml:space="preserve"> (autorització prèvia, excepció de límits pluriennals, etc.), el certificat del secretari de d’aquest òrgan col·legiat, referent a l’acord adoptat.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En els expedients de concessió de subvencions, la fiscalització prèvia s’ha de produir abans que s’adopti l’acord. El certificat s’ha de substituir per la proposta d’acord. En aquests casos, la fiscalització prèvia favorable està condicionada a la constatació per part de la Intervenció General que el Consell de Govern ha adoptat l’acord abans de validar el document comptable corresponent.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1.5. Quan l’expedient s’hagi de tramitar pel procediment d’urgència, la declaració d’urgència de l’òrgan competent degudament motivada.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lastRenderedPageBreak/>
        <w:t>1.6. En cas de tramitació anticipada de despesa, l’informe relatiu a la previsió d’existència de crèdit, d’acord amb el que disposa l’article 43.3 del Decret 75/2004 o la norma que el substitueixi.</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1.7. La proposta de resolució motivada signada per qui correspongui i dirigida a l’òrgan competent per resoldre. S’ha de comprovar que la proposta conté els antecedents i les consideracions en virtut dels quals se’n proposa l’aprovació, partint de la normativa que regula cada tipologia d’expedient, com també el desglossament de les partides i les anualitats a què s’imputa la despesa. Si s’escau, s’ha de comprovar que conté la identificació del perceptor, el règim de pagament i les garanties.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Només és procedent l’acumulació de les fases d’autorització i disposició de la despesa i reconeixement de l’obligació i proposta de pagament en una de sola, en els casos en què no hi hagi hagut cap actuació del perceptor o de l’Administració entre la fase de compromís i la de proposta de pagament i, a més, no es tracti d’un expedient pluriennal.</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1.7.1. En els casos de concessió de subvencions, s’ha de comprovar que hi consten les condicions de la concessió i les obligacions que ha de complir el beneficiari. En la proposta, hi han de constar:</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La finalitat, l’activitat o el comportament objecte de la subvenció amb el detall de l’àmbit temporal, el pressupost de l’activitat subvencionada (si és procedent), l’import sol·licitat i l’import de la subvenció atorgada, com també que el beneficiari està al corrent de les seves obligacions tributàries i amb la Seguretat Social.</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En el cas de subvencions de capital, el termini que s’atorga per fer la inversió.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L’autorització i el compromís de despesa corresponent amb el detall de l’import, el perceptor, la partida pressupostària i les anualitats.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El règim de pagaments de la subvenció amb indicació de la naturalesa i la periodicitat d’aquests pagaments, com també els règims de garanties que siguin procedents, si s’escau.</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El règim de justificació per part del beneficiari, amb els terminis de què disposa per justificar i la forma i la periodicitat en la qual ha de retre comptes davant de l’Administració que concedeix la subvenció.</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xml:space="preserve">1.7.2. En els contractes patrimonials, la proposta de resolució que s’indica en l’apartat 1.7 s’ha de substituir per les propostes que es detallen en els apartats 2.1.1, lletres </w:t>
      </w:r>
      <w:r w:rsidRPr="001A7AF7">
        <w:rPr>
          <w:rFonts w:eastAsia="Times New Roman" w:cs="Noto Sans"/>
          <w:i/>
          <w:iCs/>
          <w:color w:val="000000"/>
          <w:lang w:eastAsia="es-ES"/>
        </w:rPr>
        <w:t>a</w:t>
      </w:r>
      <w:r w:rsidRPr="001A7AF7">
        <w:rPr>
          <w:rFonts w:eastAsia="Times New Roman" w:cs="Noto Sans"/>
          <w:color w:val="000000"/>
          <w:lang w:eastAsia="es-ES"/>
        </w:rPr>
        <w:t xml:space="preserve"> i </w:t>
      </w:r>
      <w:r w:rsidRPr="001A7AF7">
        <w:rPr>
          <w:rFonts w:eastAsia="Times New Roman" w:cs="Noto Sans"/>
          <w:i/>
          <w:iCs/>
          <w:color w:val="000000"/>
          <w:lang w:eastAsia="es-ES"/>
        </w:rPr>
        <w:t>b</w:t>
      </w:r>
      <w:r w:rsidRPr="001A7AF7">
        <w:rPr>
          <w:rFonts w:eastAsia="Times New Roman" w:cs="Noto Sans"/>
          <w:color w:val="000000"/>
          <w:lang w:eastAsia="es-ES"/>
        </w:rPr>
        <w:t xml:space="preserve">, i 2.1.2, lletres </w:t>
      </w:r>
      <w:r w:rsidRPr="001A7AF7">
        <w:rPr>
          <w:rFonts w:eastAsia="Times New Roman" w:cs="Noto Sans"/>
          <w:i/>
          <w:iCs/>
          <w:color w:val="000000"/>
          <w:lang w:eastAsia="es-ES"/>
        </w:rPr>
        <w:t>a</w:t>
      </w:r>
      <w:r w:rsidRPr="001A7AF7">
        <w:rPr>
          <w:rFonts w:eastAsia="Times New Roman" w:cs="Noto Sans"/>
          <w:color w:val="000000"/>
          <w:lang w:eastAsia="es-ES"/>
        </w:rPr>
        <w:t xml:space="preserve"> i </w:t>
      </w:r>
      <w:r w:rsidRPr="001A7AF7">
        <w:rPr>
          <w:rFonts w:eastAsia="Times New Roman" w:cs="Noto Sans"/>
          <w:i/>
          <w:iCs/>
          <w:color w:val="000000"/>
          <w:lang w:eastAsia="es-ES"/>
        </w:rPr>
        <w:t>b</w:t>
      </w:r>
      <w:r w:rsidRPr="001A7AF7">
        <w:rPr>
          <w:rFonts w:eastAsia="Times New Roman" w:cs="Noto Sans"/>
          <w:color w:val="000000"/>
          <w:lang w:eastAsia="es-ES"/>
        </w:rPr>
        <w: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1.8. Amb caràcter general, els expedients que hagin de ser sotmesos a la consulta del Consell Consultiu de les Illes Balears s’han de trametre abans a la Intervenció General perquè els fiscalitzi prèviament. Posteriorment, s’ha de comprovar que el dictamen ha estat emès, expressament o tàcitament.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b/>
          <w:bCs/>
          <w:color w:val="000000"/>
          <w:lang w:eastAsia="es-ES"/>
        </w:rPr>
        <w:t>2. Aspectes addicionals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A més dels aspectes de comprovació general, en funció de la tipologia de cada expedient s’han de verificar els aspectes següents: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 Contractes patrimonials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lastRenderedPageBreak/>
        <w:t>2.1.1. Adquisició d’immobles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Adquisició per concurs</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El plec de prescripcions tècniques i el plec de clàusules administratives particulars que han de regir el concurs. Els plecs esmentats han d’estar degudament diligenciats, amb la identificació del servei o la persona que els ha elaborat. Si no es fa servir el plec de clàusules administratives tipus, el servei jurídic ha d’informar sobre el plec que es faci servir.</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tècnic d’adequació sobre els preus del mercat.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de la direcció general o l’òrgan competent en matèria de patrimoni.</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conseller competent en matèria de patrimoni d’aprovació de l’expedient i dels plecs, i d’obertura del procediment de licitació.</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titular de la secció pressupostària d’autorització de la despesa.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Adquisició directa</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El plec de prescripcions tècniques i el de clàusules administratives particulars se substitueixen per un informe de la secretaria general de la conselleria interessada que justifiqui la concurrència de les causes que eximeixen d’aplicar la regla general del concurs.</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tècnic de la valoració desglossada de l’immoble.</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de la direcció general o l’òrgan competent en matèria de patrimoni.</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conseller competent en matèria de patrimoni d’aprovació de l’expedient d’adquisició. Si el valor és superior a 500.000 euros, la proposta d’acord al Consell de Govern sobre l’adquisició.</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titular de la secció pressupostària d’autorització i disposició de la despesa amb la determinació de la forma de pagament, que serà la que s’incorpori a l’escriptura.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2.1.2. Arrendament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Arrendament per concurs</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El plec de prescripcions tècniques i el plec de clàusules administratives particulars que han de regir el concurs. Els plecs han d’estar degudament diligenciats, amb identificació del servei o la persona que els ha elaborat. Si no es fa servir el plec de clàusules administratives tipus, el servei jurídic ha d’informar sobre el plec que es faci servir.</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tècnic d’adequació sobre els preus del mercat.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de la direcció general o l’òrgan competent en matèria de patrimoni.</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conseller competent en matèria de patrimoni d’aprovació de l’expedient i dels plecs, i d’obertura del procediment de licitació.</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titular de la secció pressupostària d’autorització de la despesa.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Arrendament directe</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lastRenderedPageBreak/>
        <w:t>— El plec de prescripcions tècniques i el plec de clàusules administratives particulars se substitueixen per un informe de la secretaria general de la conselleria interessada, que justifiqui la concurrència de les causes que eximeixen d’aplicar la regla general del concurs.</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tècnic d’adequació sobre els preus del mercat.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de la direcció general o l’òrgan competent en matèria de patrimoni.</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conseller competent en matèria de patrimoni d’aprovació de la concertació de l’arrendament.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al titular de la secció pressupostària d’autorització i disposició de la despesa en la qual es determini el règim de pagament, que serà el que s’incorpori al contracte.</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2.1.3. Revisió de preus d’arrendaments</w:t>
      </w:r>
    </w:p>
    <w:p w:rsidR="001A7AF7" w:rsidRPr="001A7AF7" w:rsidRDefault="001A7AF7" w:rsidP="001A7AF7">
      <w:pPr>
        <w:spacing w:before="180" w:after="180"/>
        <w:ind w:left="1200"/>
        <w:rPr>
          <w:rFonts w:eastAsia="Times New Roman" w:cs="Noto Sans"/>
          <w:color w:val="000000"/>
          <w:lang w:eastAsia="es-ES"/>
        </w:rPr>
      </w:pPr>
      <w:r w:rsidRPr="001A7AF7">
        <w:rPr>
          <w:rFonts w:eastAsia="Times New Roman" w:cs="Noto Sans"/>
          <w:color w:val="000000"/>
          <w:lang w:eastAsia="es-ES"/>
        </w:rPr>
        <w:t>— Un informe relatiu a la inclusió en el contracte d’una clàusula de revisió de preus i al càlcul de la revisió.</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2.1.4. Pròrroga d’arrendaments</w:t>
      </w:r>
    </w:p>
    <w:p w:rsidR="001A7AF7" w:rsidRPr="007C1384" w:rsidRDefault="007A4298" w:rsidP="007C1384">
      <w:pPr>
        <w:autoSpaceDE w:val="0"/>
        <w:autoSpaceDN w:val="0"/>
        <w:adjustRightInd w:val="0"/>
        <w:ind w:left="600"/>
        <w:rPr>
          <w:rFonts w:cs="Noto Sans"/>
          <w:spacing w:val="-4"/>
        </w:rPr>
      </w:pPr>
      <w:r w:rsidRPr="001576B3">
        <w:rPr>
          <w:rFonts w:cs="Noto Sans"/>
          <w:spacing w:val="-4"/>
        </w:rPr>
        <w:t>a) Informe referit a la vigència del contracte i previsió de pròrroga, interès públic de prorrogar el contracte davant d’una nova adjudicació (tenint en compte l'adequació del preu al mercat i les circumstàncies que concorren en cada cas), conformitat del contractista, càlcul del preu de la pròrroga i la resta de punts propis de l'expedient.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La proposta de resolució de l’òrgan competent en matèria de patrimoni d’aprovació de la pròrroga del contracte en cas de pròrroga expressa, o l’acreditació que n’ha pres nota si es tracta d’una pròrroga tàcita.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La proposta de resolució al titular de la secció pressupostària d’autorització i disposició de la despesa en la qual es determini el règim de pagament.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 Contractes no patrimonials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2.2.1. Contractes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El plec de prescripcions tècniques degudament diligenciat, amb la identificació del servei o la persona que l’ha elaborat. Si es tracta d’una obra, la comprovació del plec tècnic s’ha de substituir per la verificació de l’informe de supervisió del projecte (en els casos en què sigui exigible segons la legislació vigent), l’aprovació del projecte i el replantejament previ. En els procediments de diàleg competitiu, s’ha de substituir per un document descriptiu.</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El plec de clàusules administratives particulars. Si es fa servir un plec tipus, s’ha de presentar el quadre de característiques del contracte degudament diligenciat, amb identificació del servei o la persona que l’ha elaborat. Si no, s’ha de presentar, a més del quadre, el plec acompanyat d’un informe del servei jurídic. En els procediments de diàleg competitiu, s’ha de substituir per un document descriptiu.</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En els contractes de col·laboració </w:t>
      </w:r>
      <w:proofErr w:type="spellStart"/>
      <w:r w:rsidRPr="001A7AF7">
        <w:rPr>
          <w:rFonts w:eastAsia="Times New Roman" w:cs="Noto Sans"/>
          <w:color w:val="000000"/>
          <w:lang w:eastAsia="es-ES"/>
        </w:rPr>
        <w:t>publicoprivada</w:t>
      </w:r>
      <w:proofErr w:type="spellEnd"/>
      <w:r w:rsidRPr="001A7AF7">
        <w:rPr>
          <w:rFonts w:eastAsia="Times New Roman" w:cs="Noto Sans"/>
          <w:color w:val="000000"/>
          <w:lang w:eastAsia="es-ES"/>
        </w:rPr>
        <w: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El document d’avaluació prèvia en el qual es posa de manifest que, atesa la complexitat del contracte, no és possible definir, amb caràcter previ, els mitjans tècnics necessaris o establir els mecanismes jurídics i financers per dur-lo a terme.</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lastRenderedPageBreak/>
        <w:t>— Un informe de la conselleria competent en matèria d’hisenda i pressuposts sobre les repercussions pressupostàries, els compromisos financers i la incidència en el compliment d’objectius d’estabilitat pressupostària, d’acord l’article 5 de la Llei 6/2010.</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En els contractes de concessió d’obres públiques, un informe de la conselleria competent en matèria d’hisenda i pressuposts sobre les repercussions pressupostàries, els compromisos financers i la incidència en el compliment d’objectius d’estabilitat pressupostària, d’acord amb l’article 5 de la Llei 6/2010.</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En els contractes de gestió de serveis públics, l’avantprojecte d’explotació.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f)</w:t>
      </w:r>
      <w:r w:rsidRPr="001A7AF7">
        <w:rPr>
          <w:rFonts w:eastAsia="Times New Roman" w:cs="Noto Sans"/>
          <w:color w:val="000000"/>
          <w:lang w:eastAsia="es-ES"/>
        </w:rPr>
        <w:t xml:space="preserve"> Un informe tècnic raonat en el qual s’ha d’especificar i explicar l’anàlisi que s’ha </w:t>
      </w:r>
      <w:proofErr w:type="spellStart"/>
      <w:r w:rsidRPr="001A7AF7">
        <w:rPr>
          <w:rFonts w:eastAsia="Times New Roman" w:cs="Noto Sans"/>
          <w:color w:val="000000"/>
          <w:lang w:eastAsia="es-ES"/>
        </w:rPr>
        <w:t>duit</w:t>
      </w:r>
      <w:proofErr w:type="spellEnd"/>
      <w:r w:rsidRPr="001A7AF7">
        <w:rPr>
          <w:rFonts w:eastAsia="Times New Roman" w:cs="Noto Sans"/>
          <w:color w:val="000000"/>
          <w:lang w:eastAsia="es-ES"/>
        </w:rPr>
        <w:t xml:space="preserve"> a terme i els criteris, la informació, etc., que s’han tingut en compte per arribar a la conclusió que el preu és adequat al mercat basant-se necessàriament, entre d’altres, en l’experiència i l’import d’adjudicació en exercicis anteriors o en altres administracions de contractes similars, en estudis, bases o prospeccions de mercat, etc., i referits al moment de la tramesa de l’anunci de licitació. Si es tracta d’una obra, la comprovació d’aquest informe s’ha de substituir per la verificació de l’informe de supervisió del projecte que reculli aquest aspecte, en els casos en què sigui exigible segons la legislació vigent.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g)</w:t>
      </w:r>
      <w:r w:rsidRPr="001A7AF7">
        <w:rPr>
          <w:rFonts w:eastAsia="Times New Roman" w:cs="Noto Sans"/>
          <w:color w:val="000000"/>
          <w:lang w:eastAsia="es-ES"/>
        </w:rPr>
        <w:t xml:space="preserve"> Quan es proposi un procediment negociat sense publicitat, un informe signat pel tècnic corresponent en el qual es justifiqui que es presenten les circumstàncies previstes en la normativa aplicable que permeten fer servir aquest procediment.</w:t>
      </w:r>
    </w:p>
    <w:p w:rsid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h)</w:t>
      </w:r>
      <w:r w:rsidRPr="001A7AF7">
        <w:rPr>
          <w:rFonts w:eastAsia="Times New Roman" w:cs="Noto Sans"/>
          <w:color w:val="000000"/>
          <w:lang w:eastAsia="es-ES"/>
        </w:rPr>
        <w:t xml:space="preserve"> En els supòsits de contractes d’obres o concessió d’obres el pressupost de licitació dels quals superi el llindar que estableix l’article 80 de la Llei 12/1998, de 21 de desembre, de patrimoni històric de les Illes Balears, un certificat d’existència de crèdit (RT) per l’1 % del pressupost de despesa.</w:t>
      </w:r>
    </w:p>
    <w:p w:rsidR="002A5D49" w:rsidRDefault="00523367" w:rsidP="00523367">
      <w:pPr>
        <w:pStyle w:val="Textoindependiente3"/>
        <w:autoSpaceDE w:val="0"/>
        <w:autoSpaceDN w:val="0"/>
        <w:adjustRightInd w:val="0"/>
        <w:spacing w:after="0"/>
        <w:ind w:left="600"/>
        <w:rPr>
          <w:rFonts w:ascii="Noto Sans" w:hAnsi="Noto Sans" w:cs="Noto Sans"/>
          <w:sz w:val="22"/>
          <w:szCs w:val="22"/>
        </w:rPr>
      </w:pPr>
      <w:r w:rsidRPr="001576B3">
        <w:rPr>
          <w:rFonts w:ascii="Noto Sans" w:hAnsi="Noto Sans" w:cs="Noto Sans"/>
          <w:sz w:val="22"/>
          <w:szCs w:val="22"/>
        </w:rPr>
        <w:t xml:space="preserve">i) </w:t>
      </w:r>
      <w:r w:rsidR="002A5D49" w:rsidRPr="001576B3">
        <w:rPr>
          <w:rFonts w:ascii="Noto Sans" w:hAnsi="Noto Sans" w:cs="Noto Sans"/>
          <w:sz w:val="22"/>
          <w:szCs w:val="22"/>
        </w:rPr>
        <w:t>S'ha de comprovar que es dona compliment a l'Acord del Consell de Govern de 29 d'abril de 2016 pel qual s'estableixen les directrius per a la inclusió de clàusules de caràcter social en la contractació de l'Administració de la Comunitat Autònoma de les Illes Balears.</w:t>
      </w:r>
    </w:p>
    <w:p w:rsidR="002A5D49" w:rsidRPr="00523367" w:rsidRDefault="002A5D49" w:rsidP="007C1384">
      <w:pPr>
        <w:spacing w:before="180" w:after="180"/>
        <w:rPr>
          <w:rFonts w:eastAsia="Times New Roman" w:cs="Noto Sans"/>
          <w:color w:val="000000"/>
          <w:lang w:eastAsia="es-ES"/>
        </w:rPr>
      </w:pP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2.2.2. Modificacions de contractes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Un informe justificatiu de la necessitat de modificar el contracte, per raons d’interès públic, incloent-hi la vigència, el càlcul del preu del modificat i altres aspectes propis de l’expedient: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En el cas de modificacions previstes, segons l’article 106 del Text refós de la Llei de contractes del sector públic (d’ara endavant TRLCSP), que la possibilitat de modificar el contracte s’estableix en els plecs o en l’anunci de la licitació i que es compleixen les condicions en què es podrà fer servir.</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En el cas de modificacions no previstes, que consta en l’expedient l’informe tècnic justificatiu dels aspectes que es deriven de l’article 107 del TRLCSP.</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b)</w:t>
      </w:r>
      <w:r w:rsidRPr="001A7AF7">
        <w:rPr>
          <w:rFonts w:eastAsia="Times New Roman" w:cs="Noto Sans"/>
          <w:color w:val="000000"/>
          <w:lang w:eastAsia="es-ES"/>
        </w:rPr>
        <w:t xml:space="preserve"> Un informe tècnic raonat sobre l’adequació del preu de la modificació al mercat, que s’ha de basar, sempre que sigui possible, en els preus de les unitats del contracte primitiu o en els preus descomposts de les unitats esmentades. Si no és possible, s’han de seguir els criteris de l’apartat 2.2.1, lletra </w:t>
      </w:r>
      <w:r w:rsidRPr="001A7AF7">
        <w:rPr>
          <w:rFonts w:eastAsia="Times New Roman" w:cs="Noto Sans"/>
          <w:i/>
          <w:iCs/>
          <w:color w:val="000000"/>
          <w:lang w:eastAsia="es-ES"/>
        </w:rPr>
        <w:t>f</w:t>
      </w:r>
      <w:r w:rsidRPr="001A7AF7">
        <w:rPr>
          <w:rFonts w:eastAsia="Times New Roman" w:cs="Noto Sans"/>
          <w:color w:val="000000"/>
          <w:lang w:eastAsia="es-ES"/>
        </w:rPr>
        <w:t>, d’aquest annex. En tot cas, en l’informe ha de constar l’expressió concreta de l’aplicació de la baixa d’adjudicació del contracte principal. Si es tracta d’una obra, la comprovació d’aquest informe s’ha de substituir per la verificació de l’informe de supervisió del projecte modificat, en els casos en què sigui exigible segons la legislació vigent.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del servei jurídic corresponent en relació amb la tramitació de la modificació.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En els supòsits de modificació de contractes d’obres el pressupost dels quals superi el llindar que estableix l’article 80 de la Llei 12/1998, un certificat d’existència de crèdit (RT) per l’1 % del pressupost de despesa.</w:t>
      </w:r>
    </w:p>
    <w:p w:rsidR="00144CD3" w:rsidRPr="00144CD3" w:rsidRDefault="001A7AF7" w:rsidP="002A5D49">
      <w:pPr>
        <w:pStyle w:val="Ttulo1"/>
        <w:ind w:left="284"/>
        <w:jc w:val="left"/>
        <w:rPr>
          <w:rFonts w:ascii="Noto Sans" w:hAnsi="Noto Sans" w:cs="Noto Sans"/>
          <w:color w:val="000000"/>
          <w:sz w:val="22"/>
          <w:szCs w:val="22"/>
          <w:u w:val="none"/>
        </w:rPr>
      </w:pPr>
      <w:r w:rsidRPr="001576B3">
        <w:rPr>
          <w:rFonts w:asciiTheme="minorHAnsi" w:hAnsiTheme="minorHAnsi" w:cstheme="minorHAnsi"/>
          <w:color w:val="000000"/>
          <w:u w:val="none"/>
        </w:rPr>
        <w:t>2.2.3</w:t>
      </w:r>
      <w:r w:rsidRPr="001576B3">
        <w:rPr>
          <w:rFonts w:cs="Noto Sans"/>
          <w:color w:val="000000"/>
          <w:u w:val="none"/>
        </w:rPr>
        <w:t xml:space="preserve">. </w:t>
      </w:r>
      <w:r w:rsidR="00144CD3" w:rsidRPr="00144CD3">
        <w:rPr>
          <w:rFonts w:ascii="Noto Sans" w:hAnsi="Noto Sans" w:cs="Noto Sans"/>
          <w:color w:val="000000"/>
          <w:sz w:val="22"/>
          <w:szCs w:val="22"/>
          <w:u w:val="none"/>
        </w:rPr>
        <w:t>Prórroga</w:t>
      </w:r>
      <w:r w:rsidR="00144CD3">
        <w:rPr>
          <w:rFonts w:ascii="Noto Sans" w:hAnsi="Noto Sans" w:cs="Noto Sans"/>
          <w:color w:val="000000"/>
          <w:sz w:val="22"/>
          <w:szCs w:val="22"/>
          <w:u w:val="none"/>
        </w:rPr>
        <w:t xml:space="preserve"> de contracte (</w:t>
      </w:r>
      <w:proofErr w:type="spellStart"/>
      <w:r w:rsidR="00144CD3">
        <w:rPr>
          <w:rFonts w:ascii="Noto Sans" w:hAnsi="Noto Sans" w:cs="Noto Sans"/>
          <w:color w:val="000000"/>
          <w:sz w:val="22"/>
          <w:szCs w:val="22"/>
          <w:u w:val="none"/>
        </w:rPr>
        <w:t>repetició</w:t>
      </w:r>
      <w:proofErr w:type="spellEnd"/>
      <w:r w:rsidR="00144CD3">
        <w:rPr>
          <w:rFonts w:ascii="Noto Sans" w:hAnsi="Noto Sans" w:cs="Noto Sans"/>
          <w:color w:val="000000"/>
          <w:sz w:val="22"/>
          <w:szCs w:val="22"/>
          <w:u w:val="none"/>
        </w:rPr>
        <w:t xml:space="preserve"> de </w:t>
      </w:r>
      <w:proofErr w:type="spellStart"/>
      <w:r w:rsidR="00144CD3">
        <w:rPr>
          <w:rFonts w:ascii="Noto Sans" w:hAnsi="Noto Sans" w:cs="Noto Sans"/>
          <w:color w:val="000000"/>
          <w:sz w:val="22"/>
          <w:szCs w:val="22"/>
          <w:u w:val="none"/>
        </w:rPr>
        <w:t>prestacions</w:t>
      </w:r>
      <w:proofErr w:type="spellEnd"/>
      <w:r w:rsidR="00144CD3">
        <w:rPr>
          <w:rFonts w:ascii="Noto Sans" w:hAnsi="Noto Sans" w:cs="Noto Sans"/>
          <w:color w:val="000000"/>
          <w:sz w:val="22"/>
          <w:szCs w:val="22"/>
          <w:u w:val="none"/>
        </w:rPr>
        <w:t>):</w:t>
      </w:r>
    </w:p>
    <w:p w:rsidR="00144CD3" w:rsidRDefault="00144CD3" w:rsidP="002A5D49">
      <w:pPr>
        <w:pStyle w:val="Ttulo1"/>
        <w:ind w:left="284"/>
        <w:jc w:val="left"/>
        <w:rPr>
          <w:rFonts w:cs="Noto Sans"/>
          <w:color w:val="000000"/>
          <w:u w:val="none"/>
        </w:rPr>
      </w:pPr>
    </w:p>
    <w:p w:rsidR="00144CD3" w:rsidRDefault="00144CD3" w:rsidP="002A5D49">
      <w:pPr>
        <w:pStyle w:val="Ttulo1"/>
        <w:ind w:left="284"/>
        <w:jc w:val="left"/>
        <w:rPr>
          <w:rFonts w:cs="Noto Sans"/>
          <w:color w:val="000000"/>
          <w:u w:val="none"/>
        </w:rPr>
      </w:pPr>
    </w:p>
    <w:p w:rsidR="002A5D49" w:rsidRPr="00523367" w:rsidRDefault="002A5D49" w:rsidP="00144CD3">
      <w:pPr>
        <w:pStyle w:val="Ttulo1"/>
        <w:numPr>
          <w:ilvl w:val="0"/>
          <w:numId w:val="12"/>
        </w:numPr>
        <w:jc w:val="left"/>
        <w:rPr>
          <w:rFonts w:ascii="Noto Sans" w:hAnsi="Noto Sans" w:cs="Noto Sans"/>
          <w:sz w:val="22"/>
          <w:szCs w:val="22"/>
          <w:u w:val="none"/>
          <w:lang w:val="ca-ES"/>
        </w:rPr>
      </w:pPr>
      <w:r w:rsidRPr="001576B3">
        <w:rPr>
          <w:rFonts w:ascii="Noto Sans" w:hAnsi="Noto Sans" w:cs="Noto Sans"/>
          <w:sz w:val="22"/>
          <w:szCs w:val="22"/>
          <w:u w:val="none"/>
          <w:lang w:val="ca-ES"/>
        </w:rPr>
        <w:t>Informe sobre la vigència del contracte i previsió de pròrroga, interès públic de prorrogar el contracte davant una nova adjudicació, conformitat del contractista, càlcul del preu de la pròrroga i la resta de punts propis de l’expedient.</w:t>
      </w:r>
    </w:p>
    <w:p w:rsidR="002A5D49" w:rsidRPr="00523367" w:rsidRDefault="002A5D49" w:rsidP="001A7AF7">
      <w:pPr>
        <w:spacing w:before="180" w:after="180"/>
        <w:rPr>
          <w:rFonts w:eastAsia="Times New Roman" w:cs="Noto Sans"/>
          <w:color w:val="000000"/>
          <w:lang w:eastAsia="es-ES"/>
        </w:rPr>
      </w:pP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2.2.4. Revisions de preu: un informe signat pel tècnic que correspongui, relatiu al compliment dels requisits que estableix la normativa aplicable i el contracte, com també al càlcul que serveix de base per a la revisió.</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2.2.5. Certificació final d’obres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L’acta de recepció de les obres.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El certificat final expedit pel director de l’obra amb la conformitat dels serveis corresponents de l’òrgan gestor, pendent de l’aprovació de l’òrgan de contractació.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En el supòsit excepcional d’incloure-hi revisions de preus, un informe justificatiu dels motius pels quals no s’han pogut incloure en els certificats mensuals.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2.2.6. Resolució del contracte formalitzat amb indemnització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Un informe justificatiu de la necessitat de resoldre el contracte.</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La conformitat del contractista, si és procedent.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del servei jurídic.</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El càlcul de la indemnització.</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2.2.7. Contractació conjunta de projecte i obra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Primera fase: fiscalització de l’expedient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lastRenderedPageBreak/>
        <w:t>— Un informe tècnic justificatiu sobre la necessitat d’utilitzar el procediment excepcional de contractació conjunta de projecte i obra, amb indicació de la concurrència d’alguna de les circumstàncies previstes en el TRLCSP.</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El plec de clàusules administratives particulars, amb l’informe del servei jurídic i degudament diligenciat, amb la identificació del servei o la persona que l’ha elaborat.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L’informe de l’oficina de supervisió sobre l’avantprojecte o document similar i la seva aprovació per part l’òrgan de contractació, si és procedent.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Segona fase: fiscalització de la despesa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Abans d’adjudicar l’expedient s’ha de fiscalitzar l’aprovació i el compromís de la despesa, que ha de consistir en la verificació que en l’expedient consta la documentació següent: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Les actes de la mesa de contractació.</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d’adjudicació del contracte.</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Quan el pressupost de despesa de les obres superi el llindar que estableix l’article 80 de la Llei 12/1998, un certificat d’existència de crèdit (RT) per l’1 % del pressupost de despesa.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2.3. Procediments de diàleg competitiu</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lang w:eastAsia="es-ES"/>
        </w:rPr>
        <w:t>En el cas que el procediment triat per adjudicar el contracte sigui el de diàleg competitiu, amb caràcter general, en la fiscalització de l’expedient s’han d’aplicar les fases de l’apartat 2.2.7, sens perjudici que els plecs de clàusules administratives i de prescripcions tècniques se substitueixin pel document descriptiu. A l’expedient s’ha d’adjuntar la documentació pròpia de cada tipus de contracte.</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2.4. Contractes tramitats mitjançant acords marc</w:t>
      </w:r>
    </w:p>
    <w:p w:rsidR="00F921F9" w:rsidRPr="001576B3" w:rsidRDefault="00F921F9" w:rsidP="00F921F9">
      <w:pPr>
        <w:pStyle w:val="parrafo21"/>
        <w:rPr>
          <w:rFonts w:ascii="Noto Sans" w:hAnsi="Noto Sans" w:cs="Noto Sans"/>
          <w:sz w:val="22"/>
          <w:szCs w:val="22"/>
          <w:lang w:val="ca-ES"/>
        </w:rPr>
      </w:pPr>
      <w:r w:rsidRPr="001576B3">
        <w:rPr>
          <w:rFonts w:ascii="Noto Sans" w:hAnsi="Noto Sans" w:cs="Noto Sans"/>
          <w:sz w:val="22"/>
          <w:szCs w:val="22"/>
          <w:lang w:val="ca-ES"/>
        </w:rPr>
        <w:t>2.4.1. Acords marc</w:t>
      </w:r>
    </w:p>
    <w:p w:rsidR="00F921F9" w:rsidRPr="001576B3" w:rsidRDefault="00F921F9" w:rsidP="00F921F9">
      <w:pPr>
        <w:pStyle w:val="Default"/>
        <w:rPr>
          <w:lang w:val="ca-ES"/>
        </w:rPr>
      </w:pPr>
    </w:p>
    <w:p w:rsidR="00F921F9" w:rsidRPr="001576B3" w:rsidRDefault="00F921F9" w:rsidP="00F921F9">
      <w:pPr>
        <w:pStyle w:val="Default"/>
        <w:rPr>
          <w:rFonts w:ascii="Noto Sans" w:hAnsi="Noto Sans" w:cs="Noto Sans"/>
          <w:sz w:val="22"/>
          <w:szCs w:val="22"/>
          <w:lang w:val="ca-ES"/>
        </w:rPr>
      </w:pPr>
      <w:r w:rsidRPr="001576B3">
        <w:rPr>
          <w:rFonts w:ascii="Noto Sans" w:hAnsi="Noto Sans" w:cs="Noto Sans"/>
          <w:sz w:val="22"/>
          <w:szCs w:val="22"/>
          <w:lang w:val="ca-ES"/>
        </w:rPr>
        <w:t>Adjudicació d'acord marc i implementació de sistema dinàmic d'adquisició</w:t>
      </w:r>
    </w:p>
    <w:p w:rsidR="00F921F9" w:rsidRPr="001576B3" w:rsidRDefault="00F921F9" w:rsidP="00F921F9">
      <w:pPr>
        <w:pStyle w:val="Default"/>
        <w:rPr>
          <w:rFonts w:ascii="Noto Sans" w:hAnsi="Noto Sans" w:cs="Noto Sans"/>
          <w:sz w:val="22"/>
          <w:szCs w:val="22"/>
          <w:lang w:val="ca-ES"/>
        </w:rPr>
      </w:pPr>
    </w:p>
    <w:p w:rsidR="00F921F9" w:rsidRPr="001576B3" w:rsidRDefault="00F921F9" w:rsidP="00F921F9">
      <w:pPr>
        <w:pStyle w:val="Default"/>
        <w:rPr>
          <w:rFonts w:ascii="Noto Sans" w:hAnsi="Noto Sans" w:cs="Noto Sans"/>
          <w:sz w:val="22"/>
          <w:szCs w:val="22"/>
          <w:lang w:val="ca-ES"/>
        </w:rPr>
      </w:pPr>
      <w:r w:rsidRPr="001576B3">
        <w:rPr>
          <w:rFonts w:ascii="Noto Sans" w:hAnsi="Noto Sans" w:cs="Noto Sans"/>
          <w:sz w:val="22"/>
          <w:szCs w:val="22"/>
          <w:lang w:val="ca-ES"/>
        </w:rPr>
        <w:t>Aquests expedients no comporten una despesa immediata i, per tant, en la fiscalització, s’han de comprovar els punts de l’apartat 1, aspectes generals de l'annex d'aquest Acord, llevat dels que preveuen els apartats 1.1, 1.2, 1.3 i 1.6; i, a més, com a aspectes addicionals a què es refereix l’apartat 2 d'aquest Acord, els següents:</w:t>
      </w:r>
    </w:p>
    <w:p w:rsidR="00F921F9" w:rsidRPr="001576B3" w:rsidRDefault="00F921F9" w:rsidP="00F921F9">
      <w:pPr>
        <w:pStyle w:val="Default"/>
        <w:rPr>
          <w:rFonts w:ascii="Noto Sans" w:hAnsi="Noto Sans" w:cs="Noto Sans"/>
          <w:sz w:val="22"/>
          <w:szCs w:val="22"/>
          <w:lang w:val="ca-ES"/>
        </w:rPr>
      </w:pPr>
    </w:p>
    <w:p w:rsidR="00F921F9" w:rsidRPr="001576B3" w:rsidRDefault="00F921F9" w:rsidP="00F921F9">
      <w:pPr>
        <w:pStyle w:val="parrafo21"/>
        <w:numPr>
          <w:ilvl w:val="0"/>
          <w:numId w:val="5"/>
        </w:numPr>
        <w:ind w:left="284" w:hanging="284"/>
        <w:rPr>
          <w:rFonts w:ascii="Noto Sans" w:hAnsi="Noto Sans" w:cs="Noto Sans"/>
          <w:sz w:val="22"/>
          <w:szCs w:val="22"/>
          <w:lang w:val="ca-ES"/>
        </w:rPr>
      </w:pPr>
      <w:r w:rsidRPr="001576B3">
        <w:rPr>
          <w:rFonts w:ascii="Noto Sans" w:hAnsi="Noto Sans" w:cs="Noto Sans"/>
          <w:sz w:val="22"/>
          <w:szCs w:val="22"/>
          <w:lang w:val="ca-ES"/>
        </w:rPr>
        <w:t>Plec de prescripcions tècniques i plec de clàusules administratives particulars, degudament diligenciats amb identificació del servei o de la persona que els ha elaborat, i amb l’informe del servei jurídic.</w:t>
      </w:r>
    </w:p>
    <w:p w:rsidR="00F921F9" w:rsidRPr="001576B3" w:rsidRDefault="00F921F9" w:rsidP="00F921F9">
      <w:pPr>
        <w:pStyle w:val="Default"/>
        <w:rPr>
          <w:rFonts w:ascii="Noto Sans" w:hAnsi="Noto Sans" w:cs="Noto Sans"/>
          <w:sz w:val="22"/>
          <w:szCs w:val="22"/>
          <w:lang w:val="ca-ES"/>
        </w:rPr>
      </w:pPr>
    </w:p>
    <w:p w:rsidR="00F921F9" w:rsidRPr="001576B3" w:rsidRDefault="00F921F9" w:rsidP="00F921F9">
      <w:pPr>
        <w:pStyle w:val="parrafo21"/>
        <w:numPr>
          <w:ilvl w:val="0"/>
          <w:numId w:val="5"/>
        </w:numPr>
        <w:ind w:left="284" w:hanging="284"/>
        <w:rPr>
          <w:rFonts w:ascii="Noto Sans" w:hAnsi="Noto Sans" w:cs="Noto Sans"/>
          <w:sz w:val="22"/>
          <w:szCs w:val="22"/>
          <w:lang w:val="ca-ES"/>
        </w:rPr>
      </w:pPr>
      <w:r w:rsidRPr="001576B3">
        <w:rPr>
          <w:rFonts w:ascii="Noto Sans" w:hAnsi="Noto Sans" w:cs="Noto Sans"/>
          <w:sz w:val="22"/>
          <w:szCs w:val="22"/>
          <w:lang w:val="ca-ES"/>
        </w:rPr>
        <w:t xml:space="preserve">Un informe tècnic raonat en el qual s'expliqui l'anàlisi que s'ha </w:t>
      </w:r>
      <w:proofErr w:type="spellStart"/>
      <w:r w:rsidRPr="001576B3">
        <w:rPr>
          <w:rFonts w:ascii="Noto Sans" w:hAnsi="Noto Sans" w:cs="Noto Sans"/>
          <w:sz w:val="22"/>
          <w:szCs w:val="22"/>
          <w:lang w:val="ca-ES"/>
        </w:rPr>
        <w:t>duit</w:t>
      </w:r>
      <w:proofErr w:type="spellEnd"/>
      <w:r w:rsidRPr="001576B3">
        <w:rPr>
          <w:rFonts w:ascii="Noto Sans" w:hAnsi="Noto Sans" w:cs="Noto Sans"/>
          <w:sz w:val="22"/>
          <w:szCs w:val="22"/>
          <w:lang w:val="ca-ES"/>
        </w:rPr>
        <w:t xml:space="preserve"> a terme i la informació i els criteris que han servit de base per determinar que els preus són adequats al mercat.</w:t>
      </w:r>
    </w:p>
    <w:p w:rsidR="00F921F9" w:rsidRPr="001576B3" w:rsidRDefault="00F921F9" w:rsidP="00F921F9">
      <w:pPr>
        <w:pStyle w:val="Default"/>
        <w:rPr>
          <w:rFonts w:ascii="Noto Sans" w:hAnsi="Noto Sans" w:cs="Noto Sans"/>
          <w:sz w:val="22"/>
          <w:szCs w:val="22"/>
          <w:lang w:val="ca-ES"/>
        </w:rPr>
      </w:pPr>
    </w:p>
    <w:p w:rsidR="00F921F9" w:rsidRPr="001576B3" w:rsidRDefault="00F921F9" w:rsidP="00F921F9">
      <w:pPr>
        <w:pStyle w:val="parrafo21"/>
        <w:numPr>
          <w:ilvl w:val="0"/>
          <w:numId w:val="5"/>
        </w:numPr>
        <w:ind w:left="284" w:hanging="284"/>
        <w:rPr>
          <w:rFonts w:ascii="Noto Sans" w:hAnsi="Noto Sans" w:cs="Noto Sans"/>
          <w:sz w:val="22"/>
          <w:szCs w:val="22"/>
          <w:lang w:val="ca-ES"/>
        </w:rPr>
      </w:pPr>
      <w:r w:rsidRPr="001576B3">
        <w:rPr>
          <w:rFonts w:ascii="Noto Sans" w:hAnsi="Noto Sans" w:cs="Noto Sans"/>
          <w:sz w:val="22"/>
          <w:szCs w:val="22"/>
          <w:lang w:val="ca-ES"/>
        </w:rPr>
        <w:t>En els acords marc, quan es proposi un procediment negociat sense publicitat, un informe signat pel tècnic corresponent en el qual es justifiquin les circumstàncies previstes en la normativa de contractació pública que permeten la utilització d'aquest procediment.</w:t>
      </w:r>
    </w:p>
    <w:p w:rsidR="00F921F9" w:rsidRPr="001576B3" w:rsidRDefault="00F921F9" w:rsidP="00F921F9">
      <w:pPr>
        <w:pStyle w:val="parrafo21"/>
        <w:rPr>
          <w:rFonts w:ascii="Noto Sans" w:hAnsi="Noto Sans" w:cs="Noto Sans"/>
          <w:sz w:val="22"/>
          <w:szCs w:val="22"/>
          <w:lang w:val="ca-ES"/>
        </w:rPr>
      </w:pPr>
    </w:p>
    <w:p w:rsidR="00F921F9" w:rsidRPr="001576B3" w:rsidRDefault="00F921F9" w:rsidP="00F921F9">
      <w:pPr>
        <w:pStyle w:val="parrafo21"/>
        <w:rPr>
          <w:rFonts w:ascii="Noto Sans" w:hAnsi="Noto Sans" w:cs="Noto Sans"/>
          <w:sz w:val="22"/>
          <w:szCs w:val="22"/>
          <w:lang w:val="ca-ES"/>
        </w:rPr>
      </w:pPr>
      <w:r w:rsidRPr="001576B3">
        <w:rPr>
          <w:rFonts w:ascii="Noto Sans" w:hAnsi="Noto Sans" w:cs="Noto Sans"/>
          <w:sz w:val="22"/>
          <w:szCs w:val="22"/>
          <w:lang w:val="ca-ES"/>
        </w:rPr>
        <w:lastRenderedPageBreak/>
        <w:t>2.4.2. Contractes derivats d’un acord marc o sistema dinàmic d’adquisició (contracte derivat)</w:t>
      </w:r>
    </w:p>
    <w:p w:rsidR="00F921F9" w:rsidRPr="001576B3" w:rsidRDefault="00F921F9" w:rsidP="00F921F9">
      <w:pPr>
        <w:rPr>
          <w:rFonts w:cs="Noto Sans"/>
        </w:rPr>
      </w:pPr>
    </w:p>
    <w:p w:rsidR="00F921F9" w:rsidRPr="001576B3" w:rsidRDefault="00F921F9" w:rsidP="00F921F9">
      <w:pPr>
        <w:rPr>
          <w:rFonts w:cs="Noto Sans"/>
        </w:rPr>
      </w:pPr>
      <w:r w:rsidRPr="001576B3">
        <w:rPr>
          <w:rFonts w:cs="Noto Sans"/>
        </w:rPr>
        <w:t>L'òrgan responsable de l’enviament de l'expedient que s’ha de fiscalitzar és l'òrgan competent per autoritzar la despesa, el qual l’ha de trametre abans d'iniciar les consultes i d'aprovar el document de licitació del contracte derivat, que serà necessari en els casos en què els plecs de l'acord marc o sistema dinàmic no recullin de manera precisa la regulació aplicable als contractes derivats. En el cas que no siguin necessàries les consultes, l’ha de trametre a fiscalitzar abans de l'autorització de la despesa.</w:t>
      </w:r>
    </w:p>
    <w:p w:rsidR="00F921F9" w:rsidRPr="001576B3" w:rsidRDefault="00F921F9" w:rsidP="00F921F9">
      <w:pPr>
        <w:rPr>
          <w:rFonts w:cs="Noto Sans"/>
        </w:rPr>
      </w:pPr>
    </w:p>
    <w:p w:rsidR="00F921F9" w:rsidRPr="001576B3" w:rsidRDefault="00F921F9" w:rsidP="00F921F9">
      <w:pPr>
        <w:pStyle w:val="Default"/>
        <w:rPr>
          <w:rFonts w:ascii="Noto Sans" w:hAnsi="Noto Sans" w:cs="Noto Sans"/>
          <w:sz w:val="22"/>
          <w:szCs w:val="22"/>
          <w:lang w:val="ca-ES"/>
        </w:rPr>
      </w:pPr>
      <w:r w:rsidRPr="001576B3">
        <w:rPr>
          <w:rFonts w:ascii="Noto Sans" w:hAnsi="Noto Sans" w:cs="Noto Sans"/>
          <w:sz w:val="22"/>
          <w:szCs w:val="22"/>
          <w:lang w:val="ca-ES"/>
        </w:rPr>
        <w:t>En la fiscalització d'aquests expedients s’han de comprovar els punts de l’apartat 1, aspectes generals de l'annex d'aquest Acord, i, a més, com a aspectes addicionals, els següents:</w:t>
      </w:r>
    </w:p>
    <w:p w:rsidR="00F921F9" w:rsidRPr="001576B3" w:rsidRDefault="00F921F9" w:rsidP="00F921F9">
      <w:pPr>
        <w:pStyle w:val="Default"/>
        <w:rPr>
          <w:rFonts w:ascii="Noto Sans" w:hAnsi="Noto Sans" w:cs="Noto Sans"/>
          <w:sz w:val="22"/>
          <w:szCs w:val="22"/>
          <w:lang w:val="ca-ES"/>
        </w:rPr>
      </w:pPr>
    </w:p>
    <w:p w:rsidR="00F921F9" w:rsidRPr="001576B3" w:rsidRDefault="00F921F9" w:rsidP="00F921F9">
      <w:pPr>
        <w:pStyle w:val="parrafo21"/>
        <w:numPr>
          <w:ilvl w:val="0"/>
          <w:numId w:val="6"/>
        </w:numPr>
        <w:rPr>
          <w:rFonts w:ascii="Noto Sans" w:hAnsi="Noto Sans" w:cs="Noto Sans"/>
          <w:sz w:val="22"/>
          <w:szCs w:val="22"/>
          <w:lang w:val="ca-ES"/>
        </w:rPr>
      </w:pPr>
      <w:r w:rsidRPr="001576B3">
        <w:rPr>
          <w:rFonts w:ascii="Noto Sans" w:hAnsi="Noto Sans" w:cs="Noto Sans"/>
          <w:sz w:val="22"/>
          <w:szCs w:val="22"/>
          <w:lang w:val="ca-ES"/>
        </w:rPr>
        <w:t>Una memòria justificativa emesa per la unitat responsable de la tramitació del contracte derivat, comprensiva dels antecedents de l'acord marc o sistema dinàmic del qual deriva, en què es reflecteixi com a mínim la vigència, les empreses que en formen part i, en el supòsit d'acord marc, que s'ha complert amb els requisits dels anuncis de la seva formalització. Si són diverses empreses, s’han d’indicar les condicions de selecció per adjudicar els contractes derivats i, en el cas que s'hagin de fer consultes, les empreses que es convidaran.</w:t>
      </w:r>
    </w:p>
    <w:p w:rsidR="00F921F9" w:rsidRPr="001576B3" w:rsidRDefault="00F921F9" w:rsidP="00F921F9">
      <w:pPr>
        <w:pStyle w:val="parrafo21"/>
        <w:numPr>
          <w:ilvl w:val="0"/>
          <w:numId w:val="6"/>
        </w:numPr>
        <w:ind w:left="284" w:hanging="284"/>
        <w:rPr>
          <w:rFonts w:ascii="Noto Sans" w:hAnsi="Noto Sans" w:cs="Noto Sans"/>
          <w:sz w:val="22"/>
          <w:szCs w:val="22"/>
          <w:lang w:val="ca-ES"/>
        </w:rPr>
      </w:pPr>
      <w:r w:rsidRPr="001576B3">
        <w:rPr>
          <w:rFonts w:ascii="Noto Sans" w:hAnsi="Noto Sans" w:cs="Noto Sans"/>
          <w:sz w:val="22"/>
          <w:szCs w:val="22"/>
          <w:lang w:val="ca-ES"/>
        </w:rPr>
        <w:t>Document de licitació per a l'adjudicació i execució del contracte derivat, en els casos en què la consulta requereixi introduir nous termes no establerts en l'acord marc o sistema dinàmic. Si l'acord marc o sistema dinàmic, l’ha fet la Central de Contractació de la Comunitat Autònoma de les Illes Balears, s’ha de comprovar que ha revisat el document de licitació, cosa que s'ha d’acreditar mitjançant un informe o una diligència.</w:t>
      </w:r>
    </w:p>
    <w:p w:rsidR="00F921F9" w:rsidRPr="001576B3" w:rsidRDefault="00F921F9" w:rsidP="00F921F9">
      <w:pPr>
        <w:pStyle w:val="parrafo21"/>
        <w:numPr>
          <w:ilvl w:val="0"/>
          <w:numId w:val="6"/>
        </w:numPr>
        <w:ind w:left="284" w:hanging="284"/>
        <w:rPr>
          <w:rFonts w:ascii="Noto Sans" w:hAnsi="Noto Sans" w:cs="Noto Sans"/>
          <w:sz w:val="22"/>
          <w:szCs w:val="22"/>
          <w:lang w:val="ca-ES"/>
        </w:rPr>
      </w:pPr>
      <w:r w:rsidRPr="001576B3">
        <w:rPr>
          <w:rFonts w:ascii="Noto Sans" w:hAnsi="Noto Sans" w:cs="Noto Sans"/>
          <w:sz w:val="22"/>
          <w:szCs w:val="22"/>
          <w:lang w:val="ca-ES"/>
        </w:rPr>
        <w:t>Informe motivat del càlcul del pressupost base de licitació del contracte derivat elaborat per l'òrgan responsable de l'autorització de la despesa.</w:t>
      </w:r>
    </w:p>
    <w:p w:rsidR="00F921F9" w:rsidRPr="00523367" w:rsidRDefault="00F921F9" w:rsidP="00F921F9">
      <w:pPr>
        <w:rPr>
          <w:rFonts w:cs="Noto Sans"/>
        </w:rPr>
      </w:pPr>
    </w:p>
    <w:p w:rsidR="001A7AF7" w:rsidRPr="00523367" w:rsidRDefault="001A7AF7" w:rsidP="001A7AF7">
      <w:pPr>
        <w:ind w:left="1200"/>
        <w:rPr>
          <w:rFonts w:eastAsia="Times New Roman" w:cs="Noto Sans"/>
          <w:color w:val="000000"/>
          <w:lang w:eastAsia="es-ES"/>
        </w:rPr>
      </w:pP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2.5. Encàrrecs de gestió a mitjans propis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2.5.1. Encàrrecs de gestió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El plec de prescripcions tècniques, degudament diligenciat, amb identificació del servei o la persona que l’ha elaborat. En el plec o en un document annex hi ha de constar la referència expressa a la resolució o acord pel qual s’han aprovat les tarifes que s’han de fer servir en la retribució de la prestació. Si es tracta d’una obra, el plec de prescripcions tècniques s’ha de substituir per l’informe de l’oficina de supervisió (si és procedent), l’aprovació del projecte i l’acta de replantejament previ.</w:t>
      </w:r>
    </w:p>
    <w:p w:rsid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En els contractes d’obres el pressupost de licitació dels quals superi el llindar que estableix l’article 80 de la Llei 12/1998, un certificat d’existència de crèdit (RT) per l’1 % del pressupost de despesa.</w:t>
      </w:r>
    </w:p>
    <w:p w:rsidR="00F921F9" w:rsidRPr="00523367" w:rsidRDefault="00F921F9" w:rsidP="00F921F9">
      <w:pPr>
        <w:ind w:left="567"/>
        <w:rPr>
          <w:rFonts w:cs="Noto Sans"/>
          <w:spacing w:val="-4"/>
        </w:rPr>
      </w:pPr>
      <w:r w:rsidRPr="001576B3">
        <w:rPr>
          <w:rFonts w:cs="Noto Sans"/>
          <w:spacing w:val="-4"/>
        </w:rPr>
        <w:t>c)Una declaració responsable signada pel representant del mitjà propi en què s'afirmi que disposa de mitjans humans i tècnics suficients per dur a terme l'encàrrec.</w:t>
      </w:r>
    </w:p>
    <w:p w:rsidR="00F921F9" w:rsidRPr="00523367" w:rsidRDefault="00F921F9" w:rsidP="001A7AF7">
      <w:pPr>
        <w:spacing w:before="180" w:after="180"/>
        <w:ind w:left="600"/>
        <w:rPr>
          <w:rFonts w:eastAsia="Times New Roman" w:cs="Noto Sans"/>
          <w:color w:val="000000"/>
          <w:lang w:eastAsia="es-ES"/>
        </w:rPr>
      </w:pP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lastRenderedPageBreak/>
        <w:t>2.5.2. Modificacions d’encàrrecs de gestió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Si es tracta d’una obra, s’ha de comprovar que hi consten l’informe de supervisió del projecte modificat, en els casos en què sigui exigible segons la legislació vigent, l’aprovació del projecte modificat i el replantejament previ.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En supòsits de modificació de contractes d’obres el pressupost dels quals superi el llindar que estableix l’article 80 de la Llei 12/1998, un certificat d’existència de crèdit (RT) per l’1 % del pressupost de despesa.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2.5.3. Execució de treballs per l’Administració amb col·laboradors (article 24.1 a 5 del TRLCSP)</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S’han de comprovar els aspectes generals i addicionals dels contractes d’obres o de serveis als quals es refereix aquest annex, i, en particular, que es produeix algun dels supòsits de l’article 24 del TRLCSP i que l’import del treball a càrrec d’empresaris col·laboradors no supera les quanties que estableix aquest article.</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2.6. Expedients d’adquisició de títols representatius de capital de societats mercantils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a) </w:t>
      </w:r>
      <w:r w:rsidRPr="001A7AF7">
        <w:rPr>
          <w:rFonts w:eastAsia="Times New Roman" w:cs="Noto Sans"/>
          <w:color w:val="000000"/>
          <w:lang w:eastAsia="es-ES"/>
        </w:rPr>
        <w:t>Un informe de la secretaria general de la conselleria interessada que exposi la situació econòmica i financera de la societat i altres dades que permetin valorar-ne la situació actual i la viabilitat.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b) </w:t>
      </w:r>
      <w:r w:rsidRPr="001A7AF7">
        <w:rPr>
          <w:rFonts w:eastAsia="Times New Roman" w:cs="Noto Sans"/>
          <w:color w:val="000000"/>
          <w:lang w:eastAsia="es-ES"/>
        </w:rPr>
        <w:t>El plec de prescripcions tècniques que ha de regir el concurs, degudament diligenciat, amb la identificació del servei o la persona que l’ha elaborat.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c) </w:t>
      </w:r>
      <w:r w:rsidRPr="001A7AF7">
        <w:rPr>
          <w:rFonts w:eastAsia="Times New Roman" w:cs="Noto Sans"/>
          <w:color w:val="000000"/>
          <w:lang w:eastAsia="es-ES"/>
        </w:rPr>
        <w:t>El plec de clàusules administratives particulars, amb un informe del servei jurídic en el cas que no sigui un plec tipus i degudament diligenciat, amb la identificació del servei o la persona que l’ha elaborat.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color w:val="000000"/>
          <w:lang w:eastAsia="es-ES"/>
        </w:rPr>
        <w:t>En el supòsit d’adquisició directa, aquests dos documents s’han de substituir per un informe de la secretaria general de la conselleria interessada que justifiqui aquesta forma d’adquisició i les circumstàncies que en dificulten la publicitat i la concurrència.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d) </w:t>
      </w:r>
      <w:r w:rsidRPr="001A7AF7">
        <w:rPr>
          <w:rFonts w:eastAsia="Times New Roman" w:cs="Noto Sans"/>
          <w:color w:val="000000"/>
          <w:lang w:eastAsia="es-ES"/>
        </w:rPr>
        <w:t>Un informe de l’òrgan competent relatiu al valor dels títols, de conformitat amb els mètodes de valoració comunament acceptats.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e) </w:t>
      </w:r>
      <w:r w:rsidRPr="001A7AF7">
        <w:rPr>
          <w:rFonts w:eastAsia="Times New Roman" w:cs="Noto Sans"/>
          <w:color w:val="000000"/>
          <w:lang w:eastAsia="es-ES"/>
        </w:rPr>
        <w:t>Un informe de la direcció general o l’òrgan competent en matèria de patrimoni.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f) </w:t>
      </w:r>
      <w:r w:rsidRPr="001A7AF7">
        <w:rPr>
          <w:rFonts w:eastAsia="Times New Roman" w:cs="Noto Sans"/>
          <w:color w:val="000000"/>
          <w:lang w:eastAsia="es-ES"/>
        </w:rPr>
        <w:t xml:space="preserve">La proposta de resolució al conseller competent en matèria de patrimoni d’aprovació de l’expedient i dels plecs, i d’obertura del procediment de licitació en els casos de concurs, i d’adquisició dels títols en els casos d’adjudicació directa. Quan la Comunitat Autònoma de les Illes Balears adquireixi la posició majoritària en la societat mercantil, la proposta d’acord al Consell de Govern d’aprovació de l’adquisició, segons l’article 86 </w:t>
      </w:r>
      <w:r w:rsidRPr="001A7AF7">
        <w:rPr>
          <w:rFonts w:eastAsia="Times New Roman" w:cs="Noto Sans"/>
          <w:i/>
          <w:iCs/>
          <w:color w:val="000000"/>
          <w:lang w:eastAsia="es-ES"/>
        </w:rPr>
        <w:t>j</w:t>
      </w:r>
      <w:r w:rsidRPr="001A7AF7">
        <w:rPr>
          <w:rFonts w:eastAsia="Times New Roman" w:cs="Noto Sans"/>
          <w:color w:val="000000"/>
          <w:lang w:eastAsia="es-ES"/>
        </w:rPr>
        <w:t xml:space="preserve"> de la Llei 6/2001, d’11 d’abril, del patrimoni de la Comunitat Autònoma de les Illes Balears.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2.7. Expedients d’ampliacions de capital de societats mercantils públiques de la Comunitat Autònoma de les Illes Balears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a) </w:t>
      </w:r>
      <w:r w:rsidRPr="001A7AF7">
        <w:rPr>
          <w:rFonts w:eastAsia="Times New Roman" w:cs="Noto Sans"/>
          <w:color w:val="000000"/>
          <w:lang w:eastAsia="es-ES"/>
        </w:rPr>
        <w:t>Un informe de la secretaria general de la conselleria interessada que exposi la situació econòmica i financera de la societat i altres dades que permetin valorar-ne la situació actual i la viabilitat.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b)</w:t>
      </w:r>
      <w:r w:rsidRPr="001A7AF7">
        <w:rPr>
          <w:rFonts w:eastAsia="Times New Roman" w:cs="Noto Sans"/>
          <w:color w:val="000000"/>
          <w:lang w:eastAsia="es-ES"/>
        </w:rPr>
        <w:t xml:space="preserve"> Un informe de l’òrgan competent relatiu al valor de l’ampliació, de conformitat amb els mètodes de valoració comunament acceptats.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 la direcció general o l’òrgan competent en matèria de patrimoni.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Un certificat de l’acord del Consell de Govern d’autorització prèvia que estableix l’article 53.3 de la Llei 7/2010, de 21 de juliol, del sector públic instrumental de la Comunitat Autònoma de les Illes Balears.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La proposta de resolució al conseller competent en matèria de patrimoni d’aprovació de l’expedient d’ampliació de capital. En el cas que la Comunitat Autònoma de les Illes Balears adquireixi la posició majoritària en la societat, la proposta al Consell de Govern, òrgan competent per acordar l’adquisició segons l’article 86 </w:t>
      </w:r>
      <w:r w:rsidRPr="001A7AF7">
        <w:rPr>
          <w:rFonts w:eastAsia="Times New Roman" w:cs="Noto Sans"/>
          <w:i/>
          <w:iCs/>
          <w:color w:val="000000"/>
          <w:lang w:eastAsia="es-ES"/>
        </w:rPr>
        <w:t>j</w:t>
      </w:r>
      <w:r w:rsidRPr="001A7AF7">
        <w:rPr>
          <w:rFonts w:eastAsia="Times New Roman" w:cs="Noto Sans"/>
          <w:color w:val="000000"/>
          <w:lang w:eastAsia="es-ES"/>
        </w:rPr>
        <w:t xml:space="preserve"> de la Llei 6/2001.</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f)</w:t>
      </w:r>
      <w:r w:rsidRPr="001A7AF7">
        <w:rPr>
          <w:rFonts w:eastAsia="Times New Roman" w:cs="Noto Sans"/>
          <w:color w:val="000000"/>
          <w:lang w:eastAsia="es-ES"/>
        </w:rPr>
        <w:t xml:space="preserve"> Un certificat del secretari del Consell d’Administració sobre l’acord d’ampliació esmentat.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2.8. Expropiacions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2.8.1. Expedient d’expropiacions per procediment d’urgència: dipòsits previs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L’acord del Consell de Govern en el qual es declari l’ocupació urgent dels béns.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Una memòria del centre gestor que inclogui els antecedents de l’expedient i en la qual es detalli el càlcul de les quanties dels dipòsits previs i, si s’escau, les indemnitzacions pels perjudicis derivats de l’ocupació urgent.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Els fulls de dipòsits previs i, si s’escau, d’indemnització.</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2.8.2. Expedient d’expropiacions: preu just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Les actes de mutu acord o límit de conformitat, o bé la resolució del Jurat Provincial d’Expropiació o sentència de l’òrgan jurisdiccional corresponent. Les actes de mutu acord han d’incloure el full de valoració de cada finca objecte d’expropiació amb la conformitat del propietari.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Una memòria del centre gestor que inclogui els antecedents de l’expedient i en la qual es detalli el càlcul de les quanties objecte de preu just.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El justificant del pagament o consignació del dipòsit previ i, si s’escau, indemnització (només en expedients en els quals s’hagi declarat l’ocupació urgent).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2.8.3. Expedient d’expropiacions: interessos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Un informe del càlcul d’interessos en què han de constar el tipus d’interès i les dates d’aplicació.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Una memòria del centre gestor en què es faci una referència expressa a l’acord de declaració d’ocupació urgent, a l’acta d’ocupació de la finca i a la data del pagament del preu just.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certificat de la unitat de gestió econòmica referent a la data de pagament del preu just.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lastRenderedPageBreak/>
        <w:t>2.9. Subvencions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2.9.1. Convocatòries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L’esborrany de la resolució de convocatòria amb el contingut mínim establert en la normativa vigent aplicable en matèria de subvencions.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 informe sobre l’adequació de la convocatòria al pla estratègic i a les bases reguladores.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 la direcció general competent en matèria de pressuposts (article 15.1 del Text refós de la Llei de subvencions).</w:t>
      </w:r>
    </w:p>
    <w:p w:rsidR="00F921F9" w:rsidRPr="001576B3" w:rsidRDefault="001A7AF7" w:rsidP="001A7AF7">
      <w:pPr>
        <w:spacing w:before="180" w:after="180"/>
        <w:ind w:left="600"/>
        <w:rPr>
          <w:rFonts w:eastAsia="Times New Roman" w:cs="Noto Sans"/>
          <w:color w:val="000000"/>
          <w:lang w:eastAsia="es-ES"/>
        </w:rPr>
      </w:pPr>
      <w:r w:rsidRPr="001576B3">
        <w:rPr>
          <w:rFonts w:eastAsia="Times New Roman" w:cs="Noto Sans"/>
          <w:i/>
          <w:iCs/>
          <w:color w:val="000000"/>
          <w:lang w:eastAsia="es-ES"/>
        </w:rPr>
        <w:t>d</w:t>
      </w:r>
      <w:r w:rsidRPr="001576B3">
        <w:rPr>
          <w:rFonts w:eastAsia="Times New Roman" w:cs="Noto Sans"/>
          <w:iCs/>
          <w:color w:val="000000"/>
          <w:lang w:eastAsia="es-ES"/>
        </w:rPr>
        <w:t>)</w:t>
      </w:r>
      <w:r w:rsidRPr="001576B3">
        <w:rPr>
          <w:rFonts w:eastAsia="Times New Roman" w:cs="Noto Sans"/>
          <w:color w:val="000000"/>
          <w:lang w:eastAsia="es-ES"/>
        </w:rPr>
        <w:t xml:space="preserve"> </w:t>
      </w:r>
      <w:r w:rsidR="00F921F9" w:rsidRPr="001576B3">
        <w:rPr>
          <w:rFonts w:cs="Noto Sans"/>
        </w:rPr>
        <w:t>Quan la proposta de resolució de convocatòria tramesa a fiscalitzar prevegi pagaments sense justificació prèvia, aquesta ha de fer menció expressa al supòsit legal a què s'acull, entre els que preveu l'article 37 del TRLLSCAIB. En el supòsit que preveu l'últim paràgraf de l'apartat 2 de l'article 37, la proposta ha de fer menció expressa a l'acord de Consell de Govern adoptat per atorgar l'autorització de pagament anticipat</w:t>
      </w:r>
    </w:p>
    <w:p w:rsidR="001A7AF7" w:rsidRPr="001A7AF7" w:rsidRDefault="001A7AF7" w:rsidP="001A7AF7">
      <w:pPr>
        <w:spacing w:before="180" w:after="180"/>
        <w:ind w:left="600"/>
        <w:rPr>
          <w:rFonts w:eastAsia="Times New Roman" w:cs="Noto Sans"/>
          <w:color w:val="000000"/>
          <w:lang w:eastAsia="es-ES"/>
        </w:rPr>
      </w:pPr>
      <w:r w:rsidRPr="001576B3">
        <w:rPr>
          <w:rFonts w:eastAsia="Times New Roman" w:cs="Noto Sans"/>
          <w:i/>
          <w:iCs/>
          <w:color w:val="000000"/>
          <w:lang w:eastAsia="es-ES"/>
        </w:rPr>
        <w:t>e)</w:t>
      </w:r>
      <w:r w:rsidRPr="001576B3">
        <w:rPr>
          <w:rFonts w:eastAsia="Times New Roman" w:cs="Noto Sans"/>
          <w:color w:val="000000"/>
          <w:lang w:eastAsia="es-ES"/>
        </w:rPr>
        <w:t xml:space="preserve"> En el cas que la convocatòria s’hagi de tramitar amb entitats col·laboradores, s’ha de trametre juntament amb la documentació que s’ha de fiscalitzar un esborrany</w:t>
      </w:r>
      <w:r w:rsidRPr="001A7AF7">
        <w:rPr>
          <w:rFonts w:eastAsia="Times New Roman" w:cs="Noto Sans"/>
          <w:color w:val="000000"/>
          <w:lang w:eastAsia="es-ES"/>
        </w:rPr>
        <w:t xml:space="preserve"> de les clàusules del conveni o contracte que ha de regir la col·laboració i, si s’escau, els plecs que han de regir en la selecció de l’entitat.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f)</w:t>
      </w:r>
      <w:r w:rsidRPr="001A7AF7">
        <w:rPr>
          <w:rFonts w:eastAsia="Times New Roman" w:cs="Noto Sans"/>
          <w:color w:val="000000"/>
          <w:lang w:eastAsia="es-ES"/>
        </w:rPr>
        <w:t xml:space="preserve"> En el supòsit que la concessió i la justificació s’hagin de dur a terme mitjançant mòduls, s’hi ha d’adjuntar un informe tècnic motivat en el qual s’incloguin les variables tècniques, econòmiques i financeres que s’han tingut en compte per a la determinació del mòdul sobre la base de valors mitjans de mercat.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g)</w:t>
      </w:r>
      <w:r w:rsidRPr="001A7AF7">
        <w:rPr>
          <w:rFonts w:eastAsia="Times New Roman" w:cs="Noto Sans"/>
          <w:color w:val="000000"/>
          <w:lang w:eastAsia="es-ES"/>
        </w:rPr>
        <w:t xml:space="preserve"> En el supòsit que la justificació s’hagi de fer mitjançant estats comptables, s’ha de comprovar que en la convocatòria s’indica quin serà el criteri per a la justificació i, en concret, en quin estat i comptes comptables s’identificarà l’import de la subvenció que s’ha de justificar.</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h) </w:t>
      </w:r>
      <w:r w:rsidRPr="001A7AF7">
        <w:rPr>
          <w:rFonts w:eastAsia="Times New Roman" w:cs="Noto Sans"/>
          <w:color w:val="000000"/>
          <w:lang w:eastAsia="es-ES"/>
        </w:rPr>
        <w:t>En el supòsit que la justificació s’hagi de fer mitjançant un compte justificatiu auditat, s’ha de comprovar que hi ha la remissió a la norma aplicable d’actuació dels auditors.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i) </w:t>
      </w:r>
      <w:r w:rsidRPr="001A7AF7">
        <w:rPr>
          <w:rFonts w:eastAsia="Times New Roman" w:cs="Noto Sans"/>
          <w:color w:val="000000"/>
          <w:lang w:eastAsia="es-ES"/>
        </w:rPr>
        <w:t xml:space="preserve">En cas de convocatòries de subvencions cofinançades amb fons europeus, l’informe de l’autoritat de gestió del programa operatiu corresponent, o del seu organisme intermedi, d’acord amb el que disposa l’article 4.1 </w:t>
      </w:r>
      <w:r w:rsidRPr="001A7AF7">
        <w:rPr>
          <w:rFonts w:eastAsia="Times New Roman" w:cs="Noto Sans"/>
          <w:i/>
          <w:iCs/>
          <w:color w:val="000000"/>
          <w:lang w:eastAsia="es-ES"/>
        </w:rPr>
        <w:t>b</w:t>
      </w:r>
      <w:r w:rsidRPr="001A7AF7">
        <w:rPr>
          <w:rFonts w:eastAsia="Times New Roman" w:cs="Noto Sans"/>
          <w:color w:val="000000"/>
          <w:lang w:eastAsia="es-ES"/>
        </w:rPr>
        <w:t xml:space="preserve"> del Decret 54/2004, de 18 de juny, pel qual es regula el procediment economicofinancer que s’ha de seguir en la tramitació d’actuacions de la Comunitat Autònoma de les Illes Balears cofinançades amb fons europeus.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2.9.2. Concessió de subvencions amb convocatòria prèvia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En els casos en què l’Administració i el beneficiari hagin de formalitzar un conveni instrumental per concretar els compromisos que assumeixen les parts, s’ha de trametre, juntament amb la documentació de l’expedient que s’ha de fiscalitzar, l’esborrany d’aquest conveni.</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2.9.3. Concessió de subvencions sense convocatòria prèvia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a)</w:t>
      </w:r>
      <w:r w:rsidRPr="001A7AF7">
        <w:rPr>
          <w:rFonts w:eastAsia="Times New Roman" w:cs="Noto Sans"/>
          <w:color w:val="000000"/>
          <w:lang w:eastAsia="es-ES"/>
        </w:rPr>
        <w:t xml:space="preserve"> Un informe justificatiu del caràcter singular de la subvenció i de les raons que justifiquen la dificultat de la convocatòria pública.</w:t>
      </w:r>
    </w:p>
    <w:p w:rsidR="001A7AF7" w:rsidRPr="001576B3" w:rsidRDefault="00F921F9" w:rsidP="00F921F9">
      <w:pPr>
        <w:autoSpaceDE w:val="0"/>
        <w:autoSpaceDN w:val="0"/>
        <w:adjustRightInd w:val="0"/>
        <w:ind w:left="567"/>
        <w:rPr>
          <w:rFonts w:eastAsia="Times New Roman" w:cs="Noto Sans"/>
          <w:color w:val="000000"/>
          <w:lang w:eastAsia="es-ES"/>
        </w:rPr>
      </w:pPr>
      <w:r w:rsidRPr="001576B3">
        <w:rPr>
          <w:rFonts w:eastAsia="Times New Roman" w:cs="Noto Sans"/>
          <w:iCs/>
          <w:color w:val="000000"/>
          <w:lang w:eastAsia="es-ES"/>
        </w:rPr>
        <w:t>b</w:t>
      </w:r>
      <w:r w:rsidR="001A7AF7" w:rsidRPr="001576B3">
        <w:rPr>
          <w:rFonts w:eastAsia="Times New Roman" w:cs="Noto Sans"/>
          <w:iCs/>
          <w:color w:val="000000"/>
          <w:lang w:eastAsia="es-ES"/>
        </w:rPr>
        <w:t>)</w:t>
      </w:r>
      <w:r w:rsidR="001A7AF7" w:rsidRPr="001576B3">
        <w:rPr>
          <w:rFonts w:eastAsia="Times New Roman" w:cs="Noto Sans"/>
          <w:color w:val="000000"/>
          <w:lang w:eastAsia="es-ES"/>
        </w:rPr>
        <w:t xml:space="preserve"> </w:t>
      </w:r>
      <w:r w:rsidRPr="001576B3">
        <w:rPr>
          <w:rFonts w:cs="Noto Sans"/>
        </w:rPr>
        <w:t>Quan la proposta de resolució de concessió tramesa a fiscalitzar prevegi pagaments sense justificació prèvia, aquesta ha de fer menció expressa al supòsit legal a què s'acull, entre els que preveu l'article 37 del TRLLSCAIB. En el supòsit que preveu l'últim paràgraf de l'apartat 2 de l'article 37, la proposta d’acord del Consell de Govern que es preveu en el segon paràgraf de l’apartat 1.4 dels aspectes generals d’aquest annex, ha d’incloure l’autorització de pagament anticipat.</w:t>
      </w:r>
    </w:p>
    <w:p w:rsidR="001A7AF7" w:rsidRPr="001A7AF7" w:rsidRDefault="001A7AF7" w:rsidP="001A7AF7">
      <w:pPr>
        <w:spacing w:before="180" w:after="180"/>
        <w:ind w:left="600"/>
        <w:rPr>
          <w:rFonts w:eastAsia="Times New Roman" w:cs="Noto Sans"/>
          <w:color w:val="000000"/>
          <w:lang w:eastAsia="es-ES"/>
        </w:rPr>
      </w:pPr>
      <w:r w:rsidRPr="001576B3">
        <w:rPr>
          <w:rFonts w:eastAsia="Times New Roman" w:cs="Noto Sans"/>
          <w:iCs/>
          <w:color w:val="000000"/>
          <w:lang w:eastAsia="es-ES"/>
        </w:rPr>
        <w:t>c)</w:t>
      </w:r>
      <w:r w:rsidRPr="001576B3">
        <w:rPr>
          <w:rFonts w:eastAsia="Times New Roman" w:cs="Noto Sans"/>
          <w:color w:val="000000"/>
          <w:lang w:eastAsia="es-ES"/>
        </w:rPr>
        <w:t xml:space="preserve"> En els casos en què l’Administració i el</w:t>
      </w:r>
      <w:r w:rsidRPr="001A7AF7">
        <w:rPr>
          <w:rFonts w:eastAsia="Times New Roman" w:cs="Noto Sans"/>
          <w:color w:val="000000"/>
          <w:lang w:eastAsia="es-ES"/>
        </w:rPr>
        <w:t xml:space="preserve"> beneficiari hagin de formalitzar un conveni instrumental per concretar els compromisos que assumeixen les parts, s’ha de trametre, juntament amb la documentació de l’expedient que s’ha de fiscalitzar, un esborrany d’aquest conveni.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En el supòsit que la concessió i la justificació s’hagin d’efectuar mitjançant mòduls, un informe tècnic motivat en el qual s’incloguin les variables tècniques, econòmiques i financeres que s’han tingut en compte per a la determinació del mòdul sobre la base de valors mitjans de mercat.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e)</w:t>
      </w:r>
      <w:r w:rsidRPr="001A7AF7">
        <w:rPr>
          <w:rFonts w:eastAsia="Times New Roman" w:cs="Noto Sans"/>
          <w:color w:val="000000"/>
          <w:lang w:eastAsia="es-ES"/>
        </w:rPr>
        <w:t xml:space="preserve"> En el supòsit que la justificació s’hagi d’efectuar mitjançant estats comptables, s’ha de comprovar que en la resolució de concessió s’indica quin serà el criteri per a la justificació i, en concret, en quin estat i comptes comptables s’identificarà l’import de la subvenció que s’ha de justificar.</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h) </w:t>
      </w:r>
      <w:r w:rsidRPr="001A7AF7">
        <w:rPr>
          <w:rFonts w:eastAsia="Times New Roman" w:cs="Noto Sans"/>
          <w:color w:val="000000"/>
          <w:lang w:eastAsia="es-ES"/>
        </w:rPr>
        <w:t>En el supòsit que la justificació s’hagi de fer mitjançant un compte justificatiu auditat, s’ha de comprovar que hi ha la remissió a la norma aplicable d’actuació dels auditors.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 xml:space="preserve">i) </w:t>
      </w:r>
      <w:r w:rsidRPr="001A7AF7">
        <w:rPr>
          <w:rFonts w:eastAsia="Times New Roman" w:cs="Noto Sans"/>
          <w:color w:val="000000"/>
          <w:lang w:eastAsia="es-ES"/>
        </w:rPr>
        <w:t xml:space="preserve">En cas de convocatòries de subvencions cofinançades amb fons europeus, l’informe de l’autoritat de gestió del programa operatiu corresponent, o del seu organisme intermedi, d’acord amb el que disposa l’article 4.1 </w:t>
      </w:r>
      <w:r w:rsidRPr="001A7AF7">
        <w:rPr>
          <w:rFonts w:eastAsia="Times New Roman" w:cs="Noto Sans"/>
          <w:i/>
          <w:iCs/>
          <w:color w:val="000000"/>
          <w:lang w:eastAsia="es-ES"/>
        </w:rPr>
        <w:t>b</w:t>
      </w:r>
      <w:r w:rsidRPr="001A7AF7">
        <w:rPr>
          <w:rFonts w:eastAsia="Times New Roman" w:cs="Noto Sans"/>
          <w:color w:val="000000"/>
          <w:lang w:eastAsia="es-ES"/>
        </w:rPr>
        <w:t xml:space="preserve"> del Decret 54/2004.</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2.10. Transferències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2.10.1. Transferències a entitats del sector públic de la Comunitat Autònoma de les Illes Balears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En el cas de transferències de capital, s’ha de comprovar que en la proposta de resolució hi consta el termini que s’atorga per fer la inversió concreta objecte de la transferència. Si es tracta d’una transferència corrent, se n’ha de concretar la finalitat general (aportació dels socis, aportació per cobrir pèrdues, aportació al pressupost corrent, etc.).</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2.11. Convenis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2.11.1. Convenis de col·laboració</w:t>
      </w:r>
      <w:r w:rsidR="00F921F9">
        <w:rPr>
          <w:rFonts w:eastAsia="Times New Roman" w:cs="Noto Sans"/>
          <w:color w:val="000000"/>
          <w:lang w:eastAsia="es-ES"/>
        </w:rPr>
        <w:tab/>
      </w:r>
      <w:r w:rsidR="00F921F9">
        <w:rPr>
          <w:rFonts w:eastAsia="Times New Roman" w:cs="Noto Sans"/>
          <w:color w:val="000000"/>
          <w:lang w:eastAsia="es-ES"/>
        </w:rPr>
        <w:tab/>
      </w:r>
    </w:p>
    <w:p w:rsidR="00F921F9" w:rsidRPr="001576B3" w:rsidRDefault="00F921F9" w:rsidP="00F921F9">
      <w:pPr>
        <w:numPr>
          <w:ilvl w:val="0"/>
          <w:numId w:val="9"/>
        </w:numPr>
        <w:ind w:left="284" w:hanging="284"/>
        <w:rPr>
          <w:rFonts w:cs="Noto Sans"/>
        </w:rPr>
      </w:pPr>
      <w:r w:rsidRPr="001576B3">
        <w:rPr>
          <w:rFonts w:cs="Noto Sans"/>
        </w:rPr>
        <w:t>Memòria justificativa en què s'analitzi la necessitat i l’oportunitat, l’impacte econòmic i el caràcter no contractual de l'activitat en qüestió, com també el compliment del que preveu la Llei 40/2015, d’1 d’octubre, de règim jurídic del sector públic, amb expressió de les raons que exclouen la formalització d'un contracte o la concessió d'una subvenció (article 21.3 de la Llei 4/2011, de 31 de març, de la bona administració i del bon govern de les Illes Balears).</w:t>
      </w:r>
    </w:p>
    <w:p w:rsidR="00F921F9" w:rsidRPr="00523367" w:rsidRDefault="00F921F9" w:rsidP="001A7AF7">
      <w:pPr>
        <w:spacing w:before="180" w:after="180"/>
        <w:ind w:left="600"/>
        <w:rPr>
          <w:rFonts w:eastAsia="Times New Roman" w:cs="Noto Sans"/>
          <w:color w:val="000000"/>
          <w:lang w:eastAsia="es-ES"/>
        </w:rPr>
      </w:pP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El text del conveni que han de subscriure les parts.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del servei jurídic corresponent.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Un informe de la direcció general competent en matèria de pressuposts, quan sigui procedent en virtut de la normativa pressupostària aplicable al cas.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2.11.2. Modificació o pròrroga de convenis de col·laboració</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Un informe justificatiu de la necessitat de prorrogar o modificar el conveni.</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 informe del servei jurídic corresponent.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Un informe de la direcció general competent en matèria de pressuposts, quan sigui procedent en virtut de la normativa pressupostària aplicable al cas.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El text amb l’addenda que conté les modificacions.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2.12. Expedients d’endeutament: expedients d’aprovació i de ratificació de les operacions d’endeutament</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Aquests expedients no impliquen una despesa immediata i no necessiten, per ser aprovats, que s’emeti de cap document comptable que acrediti l’existència de crèdit, ni l’autorització d’una despesa pluriennal.</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2.12.1. Expedients d’aprovació de les condicions bàsiques de les emissions de deute públic o de concertació d’operacions de crèdit a llarg i a curt termini</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La fiscalització dels expedients d’aprovació de les condicions bàsiques de les emissions de deute públic i les de concertació de les operacions d’endeutament a llarg i a curt termini, consisteix a comprovar que hi consten els documents següents: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La proposta d’acord al Consell de Govern del conseller competent en matèria d’hisenda i pressuposts de determinació de les condicions bàsiques de les emissions de deute, o de concertació de les operacions de crèdit, i d’autorització al mateix conseller per dur a terme les actuacions necessàries amb aquesta finalitat.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Un certificat de la direcció general competent en matèria del tresor i política financera que acrediti el compliment de tots els requisits i límits legals o reglamentaris, prevists en l’ordenament financer estatal i autonòmic, que condicionen l’emissió o la concertació d’aquestes operacions d’endeutament per part de la Comunitat Autònoma de les Illes Balears.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2.12.2. Expedients de ratificació de les emissions de deute públic o de la concertació d’operacions de crèdit a llarg i a curt termini</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Una vegada que la Intervenció General hagi verificat la imputació comptable correcta dels drets de cobrament corresponents a les operacions que se sotmeten a ratificació, s’ha de comprovar que en els expedients consten els documents següents: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La proposta d’acord al Consell de Govern del conseller competent en matèria d’hisenda i pressuposts de ratificació de les emissions de deute públic i de les concertacions d’operacions a llarg o curt termini que s’ha </w:t>
      </w:r>
      <w:proofErr w:type="spellStart"/>
      <w:r w:rsidRPr="001A7AF7">
        <w:rPr>
          <w:rFonts w:eastAsia="Times New Roman" w:cs="Noto Sans"/>
          <w:color w:val="000000"/>
          <w:lang w:eastAsia="es-ES"/>
        </w:rPr>
        <w:t>duit</w:t>
      </w:r>
      <w:proofErr w:type="spellEnd"/>
      <w:r w:rsidRPr="001A7AF7">
        <w:rPr>
          <w:rFonts w:eastAsia="Times New Roman" w:cs="Noto Sans"/>
          <w:color w:val="000000"/>
          <w:lang w:eastAsia="es-ES"/>
        </w:rPr>
        <w:t xml:space="preserve"> a terme durant l’exercici corresponent.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b)</w:t>
      </w:r>
      <w:r w:rsidRPr="001A7AF7">
        <w:rPr>
          <w:rFonts w:eastAsia="Times New Roman" w:cs="Noto Sans"/>
          <w:color w:val="000000"/>
          <w:lang w:eastAsia="es-ES"/>
        </w:rPr>
        <w:t xml:space="preserve"> Els acords del Consell de Govern pels quals es varen autoritzar aquestes operacions d’endeutament.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Els informes dels serveis tècnics de la direcció general competent en matèria de tresor i política financera sobre la necessitat de concertació de les operacions que siguin objecte de ratificació, amb indicació de les ofertes analitzades per concertar cada una de les operacions i del compliment de totes les limitacions legals i reglamentàries en la subscripció de cada una d’aquestes, com també la seva adequació a les condicions que es varen determinar inicialment en l’acord del Consell de Govern que va autoritzar prèviament aquestes operacions.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2.13. Altres expedients de despesa (cànon de sanejament, fons de col·laboració econòmica amb les entitats locals, transferències als consells insulars, interessos de demora, indemnització per transport marítim, indemnitzacions per responsabilitat patrimonial de l’Administració o per declaració de nul·litat, etc.)</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S’han de comprovar els aspectes generals d’aquest annex i, en particular, els documents següents: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En els casos d’indemnitzacions o interessos de demora, un informe que inclogui el càlcul de l’import de l’expedient.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b)</w:t>
      </w:r>
      <w:r w:rsidRPr="001A7AF7">
        <w:rPr>
          <w:rFonts w:eastAsia="Times New Roman" w:cs="Noto Sans"/>
          <w:color w:val="000000"/>
          <w:lang w:eastAsia="es-ES"/>
        </w:rPr>
        <w:t xml:space="preserve"> En el supòsit d’indemnitzacions derivades de nul·litat de contractes per contractació irregular:</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xml:space="preserve">— Una memòria en la qual es detallin les actuacions efectuades en la investigació dels fets consumats i la procedència de la indemnització al contractista, d’acord amb l’informe tècnic (apartat 5 </w:t>
      </w:r>
      <w:r w:rsidRPr="001A7AF7">
        <w:rPr>
          <w:rFonts w:eastAsia="Times New Roman" w:cs="Noto Sans"/>
          <w:i/>
          <w:iCs/>
          <w:color w:val="000000"/>
          <w:lang w:eastAsia="es-ES"/>
        </w:rPr>
        <w:t>a</w:t>
      </w:r>
      <w:r w:rsidRPr="001A7AF7">
        <w:rPr>
          <w:rFonts w:eastAsia="Times New Roman" w:cs="Noto Sans"/>
          <w:color w:val="000000"/>
          <w:lang w:eastAsia="es-ES"/>
        </w:rPr>
        <w:t xml:space="preserve"> de la Instrucció 2/2012, de 12 de març, de la interventora general i de la directora de l’Advocacia sobre la tramitació que s’ha de seguir en els supòsits de reconeixement extrajudicial de crèdits derivats de la contractació irregular —BOIB núm. 53, de 14 d’abril).</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La proposta de resolució de l’òrgan de contractació per la qual es declara la nul·litat de l’acte administratiu i es proposa la indemnització corresponent.</w:t>
      </w:r>
    </w:p>
    <w:p w:rsidR="001A7AF7" w:rsidRPr="001A7AF7" w:rsidRDefault="001A7AF7" w:rsidP="001A7AF7">
      <w:pPr>
        <w:ind w:left="1200"/>
        <w:rPr>
          <w:rFonts w:eastAsia="Times New Roman" w:cs="Noto Sans"/>
          <w:color w:val="000000"/>
          <w:lang w:eastAsia="es-ES"/>
        </w:rPr>
      </w:pPr>
      <w:r w:rsidRPr="001A7AF7">
        <w:rPr>
          <w:rFonts w:eastAsia="Times New Roman" w:cs="Noto Sans"/>
          <w:color w:val="000000"/>
          <w:lang w:eastAsia="es-ES"/>
        </w:rPr>
        <w:t>— Un informe del servei jurídic en relació amb la tramitació de l’expedient.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En el cas de reclamacions per responsabilitat patrimonial de l’Administració, un informe del servei el funcionament del qual hagi ocasionat la presumpta lesió indemnitzable i un informe del servei jurídic en relació amb la tramitació de l’expedient.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Quan es tracti d’una indemnització o interessos de demora acordats per una sentència judicial, s’ha de comprovar que hi consta la sentència.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En el cas de recurs administratiu, s’ha de verificar que hi consta la proposta de resolució del recurs administratiu i s’han de comprovar els aspectes propis de l’expedient principal en el qual porta causa.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xml:space="preserve">2.14. Expedients i documents comptables que s’hagin d’imputar a la comptabilitat </w:t>
      </w:r>
      <w:proofErr w:type="spellStart"/>
      <w:r w:rsidRPr="001A7AF7">
        <w:rPr>
          <w:rFonts w:eastAsia="Times New Roman" w:cs="Noto Sans"/>
          <w:color w:val="000000"/>
          <w:lang w:eastAsia="es-ES"/>
        </w:rPr>
        <w:t>extrapressupostària</w:t>
      </w:r>
      <w:proofErr w:type="spellEnd"/>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S’han de comprovar exclusivament els aspectes següents: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Que la resolució o l’acord han estat adoptats per l’òrgan administratiu que exerceix la competència.</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b)</w:t>
      </w:r>
      <w:r w:rsidRPr="001A7AF7">
        <w:rPr>
          <w:rFonts w:eastAsia="Times New Roman" w:cs="Noto Sans"/>
          <w:color w:val="000000"/>
          <w:lang w:eastAsia="es-ES"/>
        </w:rPr>
        <w:t xml:space="preserve"> Que el compte a què es pretén imputar l’expedient o el document és el que correspon, de conformitat amb el pla de comptabilitat de la Comunitat Autònoma de les Illes Balears.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c)</w:t>
      </w:r>
      <w:r w:rsidRPr="001A7AF7">
        <w:rPr>
          <w:rFonts w:eastAsia="Times New Roman" w:cs="Noto Sans"/>
          <w:color w:val="000000"/>
          <w:lang w:eastAsia="es-ES"/>
        </w:rPr>
        <w:t xml:space="preserve"> Que els imports de les despeses i de les propostes de pagament coincideixen amb la documentació justificativa.</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b/>
          <w:bCs/>
          <w:color w:val="000000"/>
          <w:lang w:eastAsia="es-ES"/>
        </w:rPr>
        <w:t>II. FISCALITZACIÓ DE DOCUMENTS COMPTABLES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b/>
          <w:bCs/>
          <w:color w:val="000000"/>
          <w:lang w:eastAsia="es-ES"/>
        </w:rPr>
        <w:t>1. Documents A, D, AD, OP i ADOP</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1.1. Aspectes generals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La fiscalització dels documents A, D, AD, OP i ADOP consisteix a constatar que recullen fidelment la fase d’execució del pressupost que correspongui, que reflecteixen de manera correcta els imports, les partides pressupostàries i, si és procedent, les anualitats, i que hi consten les signatures que corresponen i que s’han dictat els actes administratius en els qual s’emparen.</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1.2. Aspectes particulars</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1.2.1. En els documents A, D i AD s’ha de comprovar que l’expedient ha estat fiscalitzat de conformitat, quan aquesta fiscalització prèvia sigui preceptiva segons la normativa pressupostària aplicable.</w:t>
      </w:r>
    </w:p>
    <w:p w:rsidR="001A7AF7" w:rsidRPr="001A7AF7" w:rsidRDefault="001A7AF7" w:rsidP="001A7AF7">
      <w:pPr>
        <w:spacing w:before="180" w:after="180"/>
        <w:rPr>
          <w:rFonts w:eastAsia="Times New Roman" w:cs="Noto Sans"/>
          <w:color w:val="000000"/>
          <w:lang w:eastAsia="es-ES"/>
        </w:rPr>
      </w:pPr>
      <w:r w:rsidRPr="001A7AF7">
        <w:rPr>
          <w:rFonts w:eastAsia="Times New Roman" w:cs="Noto Sans"/>
          <w:color w:val="000000"/>
          <w:lang w:eastAsia="es-ES"/>
        </w:rPr>
        <w:t xml:space="preserve">1.2.2. En els documents que contenguin la fase de reconeixement de l’obligació, s’ha de comprovar que els documents OP i ADOP acrediten que la prestació s’ha </w:t>
      </w:r>
      <w:proofErr w:type="spellStart"/>
      <w:r w:rsidRPr="001A7AF7">
        <w:rPr>
          <w:rFonts w:eastAsia="Times New Roman" w:cs="Noto Sans"/>
          <w:color w:val="000000"/>
          <w:lang w:eastAsia="es-ES"/>
        </w:rPr>
        <w:t>duit</w:t>
      </w:r>
      <w:proofErr w:type="spellEnd"/>
      <w:r w:rsidRPr="001A7AF7">
        <w:rPr>
          <w:rFonts w:eastAsia="Times New Roman" w:cs="Noto Sans"/>
          <w:color w:val="000000"/>
          <w:lang w:eastAsia="es-ES"/>
        </w:rPr>
        <w:t xml:space="preserve"> a terme efectivament o que queda degudament acreditat el dret del creditor. S’han de comprovar els documents i aspectes següents:</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a)</w:t>
      </w:r>
      <w:r w:rsidRPr="001A7AF7">
        <w:rPr>
          <w:rFonts w:eastAsia="Times New Roman" w:cs="Noto Sans"/>
          <w:color w:val="000000"/>
          <w:lang w:eastAsia="es-ES"/>
        </w:rPr>
        <w:t xml:space="preserve"> En els contractes, la factura amb els requisits que estableixen les normes vigents (com ara el TRLCSP i el Reial decret 1619/2012, de 30 de novembre, pel qual s’aprova el Reglament pel qual es regulen les obligacions de facturació, o normes que els substitueixin), degudament registrada i conformada pels serveis destinataris de la prestació realitzada. Si es tracta d’un subministrament, l’acta de recepció positiva. En les obres, un certificat d’obres visat per l’òrgan de contractació. Si es tracta d’abonaments a compte prevists en l’article 216.3 del TRLCSP, un certificat de l’òrgan o tècnic competent que manifesti que estava previst en el plec de clàusules administratives particulars i que s’ha prestat la garantia corresponent.</w:t>
      </w:r>
    </w:p>
    <w:p w:rsidR="00F921F9" w:rsidRPr="00523367" w:rsidRDefault="00F921F9" w:rsidP="00F921F9">
      <w:pPr>
        <w:pStyle w:val="Textoindependiente3"/>
        <w:autoSpaceDE w:val="0"/>
        <w:autoSpaceDN w:val="0"/>
        <w:adjustRightInd w:val="0"/>
        <w:spacing w:after="0"/>
        <w:ind w:left="600" w:firstLine="105"/>
        <w:rPr>
          <w:rFonts w:ascii="Noto Sans" w:hAnsi="Noto Sans" w:cs="Noto Sans"/>
          <w:sz w:val="22"/>
          <w:szCs w:val="22"/>
        </w:rPr>
      </w:pPr>
      <w:r w:rsidRPr="001576B3">
        <w:rPr>
          <w:rFonts w:ascii="Noto Sans" w:hAnsi="Noto Sans" w:cs="Noto Sans"/>
          <w:sz w:val="22"/>
          <w:szCs w:val="22"/>
        </w:rPr>
        <w:t>b) En les subvencions, la certificació a què es refereix l'article 88.3 del Reglament de la Llei general de subvencions, expedida per l'òrgan encarregat del seguiment de la subvenció.</w:t>
      </w:r>
    </w:p>
    <w:p w:rsidR="00F921F9" w:rsidRPr="00523367" w:rsidRDefault="00F921F9" w:rsidP="00F921F9">
      <w:pPr>
        <w:pStyle w:val="Textoindependiente3"/>
        <w:autoSpaceDE w:val="0"/>
        <w:autoSpaceDN w:val="0"/>
        <w:adjustRightInd w:val="0"/>
        <w:spacing w:after="0"/>
        <w:ind w:left="284"/>
        <w:rPr>
          <w:rFonts w:ascii="Noto Sans" w:hAnsi="Noto Sans" w:cs="Noto Sans"/>
          <w:sz w:val="22"/>
          <w:szCs w:val="22"/>
        </w:rPr>
      </w:pPr>
    </w:p>
    <w:p w:rsidR="00F921F9" w:rsidRPr="00443938" w:rsidRDefault="00F921F9" w:rsidP="00144CD3">
      <w:pPr>
        <w:pStyle w:val="Textoindependiente3"/>
        <w:autoSpaceDE w:val="0"/>
        <w:autoSpaceDN w:val="0"/>
        <w:adjustRightInd w:val="0"/>
        <w:spacing w:after="0"/>
        <w:ind w:left="600"/>
        <w:rPr>
          <w:rFonts w:ascii="Noto Sans" w:hAnsi="Noto Sans" w:cs="Noto Sans"/>
          <w:i/>
          <w:sz w:val="22"/>
          <w:szCs w:val="22"/>
        </w:rPr>
      </w:pPr>
      <w:r w:rsidRPr="00443938">
        <w:rPr>
          <w:rFonts w:ascii="Noto Sans" w:hAnsi="Noto Sans" w:cs="Noto Sans"/>
          <w:i/>
          <w:sz w:val="22"/>
          <w:szCs w:val="22"/>
        </w:rPr>
        <w:t>En les subvencions en què es prevegi que la persona beneficiària ha d'aportar garanties, que se n'acrediti l’existència.</w:t>
      </w:r>
    </w:p>
    <w:p w:rsidR="00F921F9" w:rsidRPr="00443938" w:rsidRDefault="00F921F9" w:rsidP="00F921F9">
      <w:pPr>
        <w:pStyle w:val="Textoindependiente3"/>
        <w:autoSpaceDE w:val="0"/>
        <w:autoSpaceDN w:val="0"/>
        <w:adjustRightInd w:val="0"/>
        <w:spacing w:after="0"/>
        <w:ind w:left="284"/>
        <w:rPr>
          <w:rFonts w:ascii="Noto Sans" w:hAnsi="Noto Sans" w:cs="Noto Sans"/>
          <w:i/>
          <w:sz w:val="22"/>
          <w:szCs w:val="22"/>
        </w:rPr>
      </w:pPr>
    </w:p>
    <w:p w:rsidR="00F921F9" w:rsidRPr="00AC415F" w:rsidRDefault="00F921F9" w:rsidP="00144CD3">
      <w:pPr>
        <w:pStyle w:val="Textoindependiente3"/>
        <w:autoSpaceDE w:val="0"/>
        <w:autoSpaceDN w:val="0"/>
        <w:adjustRightInd w:val="0"/>
        <w:spacing w:after="0"/>
        <w:ind w:left="600"/>
        <w:rPr>
          <w:rFonts w:ascii="Noto Sans" w:hAnsi="Noto Sans" w:cs="Noto Sans"/>
          <w:i/>
          <w:sz w:val="22"/>
          <w:szCs w:val="22"/>
        </w:rPr>
      </w:pPr>
      <w:r w:rsidRPr="00443938">
        <w:rPr>
          <w:rFonts w:ascii="Noto Sans" w:hAnsi="Noto Sans" w:cs="Noto Sans"/>
          <w:i/>
          <w:sz w:val="22"/>
          <w:szCs w:val="22"/>
        </w:rPr>
        <w:t xml:space="preserve">Igualment, s'ha de comprovar que la persona beneficiària està al corrent de les </w:t>
      </w:r>
      <w:bookmarkStart w:id="0" w:name="_GoBack"/>
      <w:bookmarkEnd w:id="0"/>
      <w:r w:rsidRPr="00443938">
        <w:rPr>
          <w:rFonts w:ascii="Noto Sans" w:hAnsi="Noto Sans" w:cs="Noto Sans"/>
          <w:i/>
          <w:sz w:val="22"/>
          <w:szCs w:val="22"/>
        </w:rPr>
        <w:t>obligacions tributàries amb la Comunitat Autònoma de les Illes Balears.</w:t>
      </w:r>
    </w:p>
    <w:p w:rsidR="00F921F9" w:rsidRPr="00B16517" w:rsidRDefault="00F921F9" w:rsidP="00F921F9"/>
    <w:p w:rsidR="00F921F9" w:rsidRDefault="00F921F9" w:rsidP="001A7AF7">
      <w:pPr>
        <w:spacing w:before="180" w:after="180"/>
        <w:ind w:left="600"/>
        <w:rPr>
          <w:rFonts w:eastAsia="Times New Roman" w:cs="Noto Sans"/>
          <w:color w:val="000000"/>
          <w:lang w:eastAsia="es-ES"/>
        </w:rPr>
      </w:pP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lastRenderedPageBreak/>
        <w:t>c)</w:t>
      </w:r>
      <w:r w:rsidRPr="001A7AF7">
        <w:rPr>
          <w:rFonts w:eastAsia="Times New Roman" w:cs="Noto Sans"/>
          <w:color w:val="000000"/>
          <w:lang w:eastAsia="es-ES"/>
        </w:rPr>
        <w:t xml:space="preserve"> En les transferències a ens del sector públic o als consells insulars, en els convenis de col·laboració, en els expedients d’indemnització, d’interessos i altres despeses de naturalesa similar, s’ha de comprovar que hi ha una resolució de l’òrgan competent que contengui les fases de l’execució del pressupost de despesa de reconeixement de l’obligació i proposta del pagament. En els convenis de col·laboració, un certificat acreditatiu del compliment dels requisits i les condicions que s’hi estableixen que permeten fer el pagament.</w:t>
      </w:r>
    </w:p>
    <w:p w:rsidR="001A7AF7" w:rsidRPr="001A7AF7" w:rsidRDefault="001A7AF7" w:rsidP="001A7AF7">
      <w:pPr>
        <w:spacing w:before="180" w:after="180"/>
        <w:ind w:left="600"/>
        <w:rPr>
          <w:rFonts w:eastAsia="Times New Roman" w:cs="Noto Sans"/>
          <w:color w:val="000000"/>
          <w:lang w:eastAsia="es-ES"/>
        </w:rPr>
      </w:pPr>
      <w:r w:rsidRPr="001A7AF7">
        <w:rPr>
          <w:rFonts w:eastAsia="Times New Roman" w:cs="Noto Sans"/>
          <w:i/>
          <w:iCs/>
          <w:color w:val="000000"/>
          <w:lang w:eastAsia="es-ES"/>
        </w:rPr>
        <w:t>d)</w:t>
      </w:r>
      <w:r w:rsidRPr="001A7AF7">
        <w:rPr>
          <w:rFonts w:eastAsia="Times New Roman" w:cs="Noto Sans"/>
          <w:color w:val="000000"/>
          <w:lang w:eastAsia="es-ES"/>
        </w:rPr>
        <w:t xml:space="preserve"> Els aspectes que es concretin en les instruccions, les comunicacions, les circulars, les notes tècniques, etc., de la Intervenció General.</w:t>
      </w:r>
    </w:p>
    <w:sectPr w:rsidR="001A7AF7" w:rsidRPr="001A7AF7" w:rsidSect="003419D5">
      <w:headerReference w:type="default" r:id="rId7"/>
      <w:footerReference w:type="default" r:id="rId8"/>
      <w:headerReference w:type="first" r:id="rId9"/>
      <w:footerReference w:type="first" r:id="rId10"/>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1572" w:rsidRDefault="00A61572" w:rsidP="002F3D33">
      <w:r>
        <w:separator/>
      </w:r>
    </w:p>
  </w:endnote>
  <w:endnote w:type="continuationSeparator" w:id="0">
    <w:p w:rsidR="00A61572" w:rsidRDefault="00A61572" w:rsidP="002F3D3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82FF" w:usb1="400078F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5B361F" w:rsidRPr="00144C26" w:rsidTr="00B340FE">
      <w:trPr>
        <w:trHeight w:val="1140"/>
      </w:trPr>
      <w:tc>
        <w:tcPr>
          <w:tcW w:w="1985" w:type="dxa"/>
          <w:tcBorders>
            <w:top w:val="nil"/>
            <w:left w:val="nil"/>
            <w:bottom w:val="nil"/>
            <w:right w:val="nil"/>
          </w:tcBorders>
          <w:vAlign w:val="bottom"/>
        </w:tcPr>
        <w:p w:rsidR="005B361F" w:rsidRPr="00901173" w:rsidRDefault="005B361F" w:rsidP="00073E4E">
          <w:pPr>
            <w:pStyle w:val="Peudepgina"/>
            <w:rPr>
              <w:rFonts w:ascii="Noto Sans" w:hAnsi="Noto Sans" w:cs="Noto Sans"/>
              <w:lang w:val="ca-ES"/>
            </w:rPr>
          </w:pPr>
          <w:r>
            <w:rPr>
              <w:rFonts w:ascii="Noto Sans" w:hAnsi="Noto Sans" w:cs="Noto Sans"/>
              <w:lang w:val="ca-ES"/>
            </w:rPr>
            <w:t>Carrer del Palau Reial, 17</w:t>
          </w:r>
        </w:p>
        <w:p w:rsidR="005B361F" w:rsidRPr="00901173" w:rsidRDefault="005B361F" w:rsidP="00073E4E">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01</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5B361F" w:rsidRPr="00901173" w:rsidRDefault="005B361F" w:rsidP="00073E4E">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95</w:t>
          </w:r>
          <w:r w:rsidRPr="00901173">
            <w:rPr>
              <w:rFonts w:ascii="Noto Sans" w:hAnsi="Noto Sans" w:cs="Noto Sans"/>
              <w:lang w:val="ca-ES"/>
            </w:rPr>
            <w:t xml:space="preserve"> 00</w:t>
          </w:r>
        </w:p>
        <w:p w:rsidR="005B361F" w:rsidRPr="00144C26" w:rsidRDefault="005B361F" w:rsidP="00073E4E">
          <w:pPr>
            <w:pStyle w:val="Peudepgina"/>
            <w:rPr>
              <w:rFonts w:ascii="Noto Sans" w:hAnsi="Noto Sans" w:cs="Noto Sans"/>
            </w:rPr>
          </w:pPr>
          <w:r>
            <w:rPr>
              <w:rFonts w:ascii="Noto Sans" w:hAnsi="Noto Sans" w:cs="Noto Sans"/>
              <w:color w:val="C30045"/>
              <w:lang w:val="ca-ES"/>
            </w:rPr>
            <w:t>interven.caib.es</w:t>
          </w:r>
        </w:p>
      </w:tc>
      <w:tc>
        <w:tcPr>
          <w:tcW w:w="3345" w:type="dxa"/>
          <w:tcBorders>
            <w:top w:val="nil"/>
            <w:left w:val="nil"/>
            <w:bottom w:val="nil"/>
            <w:right w:val="nil"/>
          </w:tcBorders>
        </w:tcPr>
        <w:p w:rsidR="005B361F" w:rsidRPr="00144C26" w:rsidRDefault="005B361F"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5B361F" w:rsidRPr="00144C26" w:rsidRDefault="003C1523" w:rsidP="003403A6">
          <w:pPr>
            <w:pStyle w:val="Nmerodepgina"/>
            <w:rPr>
              <w:rFonts w:ascii="Noto Sans" w:hAnsi="Noto Sans" w:cs="Noto Sans"/>
            </w:rPr>
          </w:pPr>
          <w:r w:rsidRPr="00144C26">
            <w:rPr>
              <w:rFonts w:ascii="Noto Sans" w:hAnsi="Noto Sans" w:cs="Noto Sans"/>
            </w:rPr>
            <w:fldChar w:fldCharType="begin"/>
          </w:r>
          <w:r w:rsidR="005B361F" w:rsidRPr="00144C26">
            <w:rPr>
              <w:rFonts w:ascii="Noto Sans" w:hAnsi="Noto Sans" w:cs="Noto Sans"/>
            </w:rPr>
            <w:instrText>PAGE   \* MERGEFORMAT</w:instrText>
          </w:r>
          <w:r w:rsidRPr="00144C26">
            <w:rPr>
              <w:rFonts w:ascii="Noto Sans" w:hAnsi="Noto Sans" w:cs="Noto Sans"/>
            </w:rPr>
            <w:fldChar w:fldCharType="separate"/>
          </w:r>
          <w:r w:rsidR="007C1384">
            <w:rPr>
              <w:rFonts w:ascii="Noto Sans" w:hAnsi="Noto Sans" w:cs="Noto Sans"/>
              <w:noProof/>
            </w:rPr>
            <w:t>10</w:t>
          </w:r>
          <w:r w:rsidRPr="00144C26">
            <w:rPr>
              <w:rFonts w:ascii="Noto Sans" w:hAnsi="Noto Sans" w:cs="Noto Sans"/>
            </w:rPr>
            <w:fldChar w:fldCharType="end"/>
          </w:r>
        </w:p>
      </w:tc>
    </w:tr>
  </w:tbl>
  <w:p w:rsidR="005B361F" w:rsidRPr="00144C26" w:rsidRDefault="005B361F">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5B361F" w:rsidRPr="00901173" w:rsidTr="00B340FE">
      <w:trPr>
        <w:trHeight w:val="1140"/>
      </w:trPr>
      <w:tc>
        <w:tcPr>
          <w:tcW w:w="1985" w:type="dxa"/>
          <w:tcBorders>
            <w:top w:val="nil"/>
            <w:left w:val="nil"/>
            <w:bottom w:val="nil"/>
            <w:right w:val="nil"/>
          </w:tcBorders>
          <w:vAlign w:val="bottom"/>
        </w:tcPr>
        <w:p w:rsidR="005B361F" w:rsidRPr="00901173" w:rsidRDefault="005B361F" w:rsidP="00073E4E">
          <w:pPr>
            <w:pStyle w:val="Peudepgina"/>
            <w:rPr>
              <w:rFonts w:ascii="Noto Sans" w:hAnsi="Noto Sans" w:cs="Noto Sans"/>
              <w:lang w:val="ca-ES"/>
            </w:rPr>
          </w:pPr>
          <w:r>
            <w:rPr>
              <w:rFonts w:ascii="Noto Sans" w:hAnsi="Noto Sans" w:cs="Noto Sans"/>
              <w:lang w:val="ca-ES"/>
            </w:rPr>
            <w:t>Carrer del Palau Reial, 17</w:t>
          </w:r>
        </w:p>
        <w:p w:rsidR="005B361F" w:rsidRPr="00901173" w:rsidRDefault="005B361F" w:rsidP="00073E4E">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01</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5B361F" w:rsidRPr="00901173" w:rsidRDefault="005B361F" w:rsidP="00073E4E">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95</w:t>
          </w:r>
          <w:r w:rsidRPr="00901173">
            <w:rPr>
              <w:rFonts w:ascii="Noto Sans" w:hAnsi="Noto Sans" w:cs="Noto Sans"/>
              <w:lang w:val="ca-ES"/>
            </w:rPr>
            <w:t xml:space="preserve"> 00</w:t>
          </w:r>
        </w:p>
        <w:p w:rsidR="005B361F" w:rsidRPr="00901173" w:rsidRDefault="005B361F" w:rsidP="00073E4E">
          <w:pPr>
            <w:pStyle w:val="Peudepgina"/>
            <w:rPr>
              <w:rFonts w:ascii="Noto Sans" w:hAnsi="Noto Sans" w:cs="Noto Sans"/>
              <w:color w:val="C30045"/>
            </w:rPr>
          </w:pPr>
          <w:r>
            <w:rPr>
              <w:rFonts w:ascii="Noto Sans" w:hAnsi="Noto Sans" w:cs="Noto Sans"/>
              <w:color w:val="C30045"/>
              <w:lang w:val="ca-ES"/>
            </w:rPr>
            <w:t>interven.caib.es</w:t>
          </w:r>
        </w:p>
      </w:tc>
      <w:tc>
        <w:tcPr>
          <w:tcW w:w="3345" w:type="dxa"/>
          <w:tcBorders>
            <w:top w:val="nil"/>
            <w:left w:val="nil"/>
            <w:bottom w:val="nil"/>
            <w:right w:val="nil"/>
          </w:tcBorders>
        </w:tcPr>
        <w:p w:rsidR="005B361F" w:rsidRPr="00901173" w:rsidRDefault="005B361F" w:rsidP="00842E51">
          <w:pPr>
            <w:pStyle w:val="Peudepgina"/>
            <w:jc w:val="center"/>
            <w:rPr>
              <w:rFonts w:ascii="Noto Sans" w:hAnsi="Noto Sans" w:cs="Noto Sans"/>
            </w:rPr>
          </w:pPr>
        </w:p>
      </w:tc>
      <w:tc>
        <w:tcPr>
          <w:tcW w:w="1985" w:type="dxa"/>
          <w:tcBorders>
            <w:top w:val="nil"/>
            <w:left w:val="nil"/>
            <w:bottom w:val="nil"/>
            <w:right w:val="nil"/>
          </w:tcBorders>
        </w:tcPr>
        <w:p w:rsidR="005B361F" w:rsidRPr="00901173" w:rsidRDefault="005B361F" w:rsidP="003403A6">
          <w:pPr>
            <w:pStyle w:val="Peudepgina"/>
            <w:rPr>
              <w:rFonts w:ascii="Noto Sans" w:hAnsi="Noto Sans" w:cs="Noto Sans"/>
            </w:rPr>
          </w:pPr>
        </w:p>
      </w:tc>
    </w:tr>
  </w:tbl>
  <w:p w:rsidR="005B361F" w:rsidRPr="00901173" w:rsidRDefault="005B361F"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1572" w:rsidRDefault="00A61572" w:rsidP="002F3D33">
      <w:r>
        <w:separator/>
      </w:r>
    </w:p>
  </w:footnote>
  <w:footnote w:type="continuationSeparator" w:id="0">
    <w:p w:rsidR="00A61572" w:rsidRDefault="00A61572"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361F" w:rsidRDefault="005B361F">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361F" w:rsidRDefault="005B361F" w:rsidP="008F226D">
    <w:pPr>
      <w:pStyle w:val="Encabezado"/>
      <w:spacing w:after="2700"/>
    </w:pPr>
    <w:r>
      <w:rPr>
        <w:noProof/>
        <w:lang w:val="es-ES" w:eastAsia="es-ES"/>
      </w:rPr>
      <w:drawing>
        <wp:anchor distT="0" distB="0" distL="114300" distR="114300" simplePos="0" relativeHeight="251660800" behindDoc="0" locked="0" layoutInCell="1" allowOverlap="1">
          <wp:simplePos x="0" y="0"/>
          <wp:positionH relativeFrom="column">
            <wp:posOffset>-1059804</wp:posOffset>
          </wp:positionH>
          <wp:positionV relativeFrom="paragraph">
            <wp:posOffset>-70653</wp:posOffset>
          </wp:positionV>
          <wp:extent cx="1763177" cy="1526876"/>
          <wp:effectExtent l="0" t="0" r="0" b="0"/>
          <wp:wrapNone/>
          <wp:docPr id="1" name="Imagen 1" descr="C:\Users\u100825\AppData\Local\Temp\CHIS_ICAIB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00825\AppData\Local\Temp\CHIS_ICAIB_COL.png"/>
                  <pic:cNvPicPr>
                    <a:picLocks noChangeAspect="1" noChangeArrowheads="1"/>
                  </pic:cNvPicPr>
                </pic:nvPicPr>
                <pic:blipFill>
                  <a:blip r:embed="rId1"/>
                  <a:srcRect/>
                  <a:stretch>
                    <a:fillRect/>
                  </a:stretch>
                </pic:blipFill>
                <pic:spPr bwMode="auto">
                  <a:xfrm>
                    <a:off x="0" y="0"/>
                    <a:ext cx="1763177" cy="1526876"/>
                  </a:xfrm>
                  <a:prstGeom prst="rect">
                    <a:avLst/>
                  </a:prstGeom>
                  <a:noFill/>
                  <a:ln w="9525">
                    <a:noFill/>
                    <a:miter lim="800000"/>
                    <a:headEnd/>
                    <a:tailEnd/>
                  </a:ln>
                </pic:spPr>
              </pic:pic>
            </a:graphicData>
          </a:graphic>
        </wp:anchor>
      </w:drawing>
    </w:r>
    <w:r w:rsidRPr="00073E4E">
      <w:rPr>
        <w:rFonts w:ascii="Times New Roman" w:eastAsia="Times New Roman" w:hAnsi="Times New Roman"/>
        <w:snapToGrid w:val="0"/>
        <w:color w:val="000000"/>
        <w:w w:val="0"/>
        <w:sz w:val="0"/>
        <w:szCs w:val="0"/>
        <w:u w:color="000000"/>
        <w:bdr w:val="none" w:sz="0" w:space="0" w:color="000000"/>
        <w:shd w:val="clear" w:color="000000" w:fill="000000"/>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06A7D"/>
    <w:multiLevelType w:val="hybridMultilevel"/>
    <w:tmpl w:val="C95A0888"/>
    <w:lvl w:ilvl="0" w:tplc="3F700F00">
      <w:start w:val="2"/>
      <w:numFmt w:val="bullet"/>
      <w:lvlText w:val="-"/>
      <w:lvlJc w:val="left"/>
      <w:pPr>
        <w:ind w:left="644" w:hanging="360"/>
      </w:pPr>
      <w:rPr>
        <w:rFonts w:ascii="Noto Sans" w:eastAsia="Times New Roman" w:hAnsi="Noto Sans" w:cs="Noto Sans"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
    <w:nsid w:val="05A94F5F"/>
    <w:multiLevelType w:val="hybridMultilevel"/>
    <w:tmpl w:val="2E7C90EE"/>
    <w:lvl w:ilvl="0" w:tplc="847AB2D4">
      <w:start w:val="1"/>
      <w:numFmt w:val="lowerRoman"/>
      <w:lvlText w:val="%1)"/>
      <w:lvlJc w:val="left"/>
      <w:pPr>
        <w:ind w:left="1680" w:hanging="720"/>
      </w:pPr>
      <w:rPr>
        <w:rFonts w:hint="default"/>
        <w:i/>
      </w:rPr>
    </w:lvl>
    <w:lvl w:ilvl="1" w:tplc="0C0A0019" w:tentative="1">
      <w:start w:val="1"/>
      <w:numFmt w:val="lowerLetter"/>
      <w:lvlText w:val="%2."/>
      <w:lvlJc w:val="left"/>
      <w:pPr>
        <w:ind w:left="2040" w:hanging="360"/>
      </w:pPr>
    </w:lvl>
    <w:lvl w:ilvl="2" w:tplc="0C0A001B" w:tentative="1">
      <w:start w:val="1"/>
      <w:numFmt w:val="lowerRoman"/>
      <w:lvlText w:val="%3."/>
      <w:lvlJc w:val="right"/>
      <w:pPr>
        <w:ind w:left="2760" w:hanging="180"/>
      </w:pPr>
    </w:lvl>
    <w:lvl w:ilvl="3" w:tplc="0C0A000F" w:tentative="1">
      <w:start w:val="1"/>
      <w:numFmt w:val="decimal"/>
      <w:lvlText w:val="%4."/>
      <w:lvlJc w:val="left"/>
      <w:pPr>
        <w:ind w:left="3480" w:hanging="360"/>
      </w:pPr>
    </w:lvl>
    <w:lvl w:ilvl="4" w:tplc="0C0A0019" w:tentative="1">
      <w:start w:val="1"/>
      <w:numFmt w:val="lowerLetter"/>
      <w:lvlText w:val="%5."/>
      <w:lvlJc w:val="left"/>
      <w:pPr>
        <w:ind w:left="4200" w:hanging="360"/>
      </w:pPr>
    </w:lvl>
    <w:lvl w:ilvl="5" w:tplc="0C0A001B" w:tentative="1">
      <w:start w:val="1"/>
      <w:numFmt w:val="lowerRoman"/>
      <w:lvlText w:val="%6."/>
      <w:lvlJc w:val="right"/>
      <w:pPr>
        <w:ind w:left="4920" w:hanging="180"/>
      </w:pPr>
    </w:lvl>
    <w:lvl w:ilvl="6" w:tplc="0C0A000F" w:tentative="1">
      <w:start w:val="1"/>
      <w:numFmt w:val="decimal"/>
      <w:lvlText w:val="%7."/>
      <w:lvlJc w:val="left"/>
      <w:pPr>
        <w:ind w:left="5640" w:hanging="360"/>
      </w:pPr>
    </w:lvl>
    <w:lvl w:ilvl="7" w:tplc="0C0A0019" w:tentative="1">
      <w:start w:val="1"/>
      <w:numFmt w:val="lowerLetter"/>
      <w:lvlText w:val="%8."/>
      <w:lvlJc w:val="left"/>
      <w:pPr>
        <w:ind w:left="6360" w:hanging="360"/>
      </w:pPr>
    </w:lvl>
    <w:lvl w:ilvl="8" w:tplc="0C0A001B" w:tentative="1">
      <w:start w:val="1"/>
      <w:numFmt w:val="lowerRoman"/>
      <w:lvlText w:val="%9."/>
      <w:lvlJc w:val="right"/>
      <w:pPr>
        <w:ind w:left="7080" w:hanging="180"/>
      </w:pPr>
    </w:lvl>
  </w:abstractNum>
  <w:abstractNum w:abstractNumId="2">
    <w:nsid w:val="0C635E60"/>
    <w:multiLevelType w:val="hybridMultilevel"/>
    <w:tmpl w:val="7B94622E"/>
    <w:lvl w:ilvl="0" w:tplc="FFB2E900">
      <w:start w:val="1"/>
      <w:numFmt w:val="lowerLetter"/>
      <w:lvlText w:val="%1)"/>
      <w:lvlJc w:val="left"/>
      <w:pPr>
        <w:ind w:left="1920" w:hanging="360"/>
      </w:pPr>
      <w:rPr>
        <w:rFonts w:hint="default"/>
        <w:i/>
      </w:rPr>
    </w:lvl>
    <w:lvl w:ilvl="1" w:tplc="0C0A0019">
      <w:start w:val="1"/>
      <w:numFmt w:val="lowerLetter"/>
      <w:lvlText w:val="%2."/>
      <w:lvlJc w:val="left"/>
      <w:pPr>
        <w:ind w:left="2640" w:hanging="360"/>
      </w:pPr>
    </w:lvl>
    <w:lvl w:ilvl="2" w:tplc="0C0A001B" w:tentative="1">
      <w:start w:val="1"/>
      <w:numFmt w:val="lowerRoman"/>
      <w:lvlText w:val="%3."/>
      <w:lvlJc w:val="right"/>
      <w:pPr>
        <w:ind w:left="3360" w:hanging="180"/>
      </w:pPr>
    </w:lvl>
    <w:lvl w:ilvl="3" w:tplc="0C0A000F" w:tentative="1">
      <w:start w:val="1"/>
      <w:numFmt w:val="decimal"/>
      <w:lvlText w:val="%4."/>
      <w:lvlJc w:val="left"/>
      <w:pPr>
        <w:ind w:left="4080" w:hanging="360"/>
      </w:pPr>
    </w:lvl>
    <w:lvl w:ilvl="4" w:tplc="0C0A0019" w:tentative="1">
      <w:start w:val="1"/>
      <w:numFmt w:val="lowerLetter"/>
      <w:lvlText w:val="%5."/>
      <w:lvlJc w:val="left"/>
      <w:pPr>
        <w:ind w:left="4800" w:hanging="360"/>
      </w:pPr>
    </w:lvl>
    <w:lvl w:ilvl="5" w:tplc="0C0A001B" w:tentative="1">
      <w:start w:val="1"/>
      <w:numFmt w:val="lowerRoman"/>
      <w:lvlText w:val="%6."/>
      <w:lvlJc w:val="right"/>
      <w:pPr>
        <w:ind w:left="5520" w:hanging="180"/>
      </w:pPr>
    </w:lvl>
    <w:lvl w:ilvl="6" w:tplc="0C0A000F" w:tentative="1">
      <w:start w:val="1"/>
      <w:numFmt w:val="decimal"/>
      <w:lvlText w:val="%7."/>
      <w:lvlJc w:val="left"/>
      <w:pPr>
        <w:ind w:left="6240" w:hanging="360"/>
      </w:pPr>
    </w:lvl>
    <w:lvl w:ilvl="7" w:tplc="0C0A0019" w:tentative="1">
      <w:start w:val="1"/>
      <w:numFmt w:val="lowerLetter"/>
      <w:lvlText w:val="%8."/>
      <w:lvlJc w:val="left"/>
      <w:pPr>
        <w:ind w:left="6960" w:hanging="360"/>
      </w:pPr>
    </w:lvl>
    <w:lvl w:ilvl="8" w:tplc="0C0A001B" w:tentative="1">
      <w:start w:val="1"/>
      <w:numFmt w:val="lowerRoman"/>
      <w:lvlText w:val="%9."/>
      <w:lvlJc w:val="right"/>
      <w:pPr>
        <w:ind w:left="7680" w:hanging="180"/>
      </w:pPr>
    </w:lvl>
  </w:abstractNum>
  <w:abstractNum w:abstractNumId="3">
    <w:nsid w:val="12016D10"/>
    <w:multiLevelType w:val="hybridMultilevel"/>
    <w:tmpl w:val="24CA9F5A"/>
    <w:lvl w:ilvl="0" w:tplc="CE24D4D2">
      <w:start w:val="3"/>
      <w:numFmt w:val="lowerLetter"/>
      <w:lvlText w:val="%1)"/>
      <w:lvlJc w:val="left"/>
      <w:pPr>
        <w:ind w:left="2727" w:hanging="360"/>
      </w:pPr>
      <w:rPr>
        <w:rFonts w:hint="default"/>
        <w:i/>
      </w:rPr>
    </w:lvl>
    <w:lvl w:ilvl="1" w:tplc="0C0A0019" w:tentative="1">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4">
    <w:nsid w:val="1F0406D7"/>
    <w:multiLevelType w:val="hybridMultilevel"/>
    <w:tmpl w:val="C75A5580"/>
    <w:lvl w:ilvl="0" w:tplc="200E277A">
      <w:start w:val="1"/>
      <w:numFmt w:val="lowerRoman"/>
      <w:lvlText w:val="%1)"/>
      <w:lvlJc w:val="left"/>
      <w:pPr>
        <w:ind w:left="1320" w:hanging="720"/>
      </w:pPr>
      <w:rPr>
        <w:rFonts w:hint="default"/>
      </w:rPr>
    </w:lvl>
    <w:lvl w:ilvl="1" w:tplc="0C0A0019" w:tentative="1">
      <w:start w:val="1"/>
      <w:numFmt w:val="lowerLetter"/>
      <w:lvlText w:val="%2."/>
      <w:lvlJc w:val="left"/>
      <w:pPr>
        <w:ind w:left="1680" w:hanging="360"/>
      </w:pPr>
    </w:lvl>
    <w:lvl w:ilvl="2" w:tplc="0C0A001B" w:tentative="1">
      <w:start w:val="1"/>
      <w:numFmt w:val="lowerRoman"/>
      <w:lvlText w:val="%3."/>
      <w:lvlJc w:val="right"/>
      <w:pPr>
        <w:ind w:left="2400" w:hanging="180"/>
      </w:pPr>
    </w:lvl>
    <w:lvl w:ilvl="3" w:tplc="0C0A000F" w:tentative="1">
      <w:start w:val="1"/>
      <w:numFmt w:val="decimal"/>
      <w:lvlText w:val="%4."/>
      <w:lvlJc w:val="left"/>
      <w:pPr>
        <w:ind w:left="3120" w:hanging="360"/>
      </w:pPr>
    </w:lvl>
    <w:lvl w:ilvl="4" w:tplc="0C0A0019" w:tentative="1">
      <w:start w:val="1"/>
      <w:numFmt w:val="lowerLetter"/>
      <w:lvlText w:val="%5."/>
      <w:lvlJc w:val="left"/>
      <w:pPr>
        <w:ind w:left="3840" w:hanging="360"/>
      </w:pPr>
    </w:lvl>
    <w:lvl w:ilvl="5" w:tplc="0C0A001B" w:tentative="1">
      <w:start w:val="1"/>
      <w:numFmt w:val="lowerRoman"/>
      <w:lvlText w:val="%6."/>
      <w:lvlJc w:val="right"/>
      <w:pPr>
        <w:ind w:left="4560" w:hanging="180"/>
      </w:pPr>
    </w:lvl>
    <w:lvl w:ilvl="6" w:tplc="0C0A000F" w:tentative="1">
      <w:start w:val="1"/>
      <w:numFmt w:val="decimal"/>
      <w:lvlText w:val="%7."/>
      <w:lvlJc w:val="left"/>
      <w:pPr>
        <w:ind w:left="5280" w:hanging="360"/>
      </w:pPr>
    </w:lvl>
    <w:lvl w:ilvl="7" w:tplc="0C0A0019" w:tentative="1">
      <w:start w:val="1"/>
      <w:numFmt w:val="lowerLetter"/>
      <w:lvlText w:val="%8."/>
      <w:lvlJc w:val="left"/>
      <w:pPr>
        <w:ind w:left="6000" w:hanging="360"/>
      </w:pPr>
    </w:lvl>
    <w:lvl w:ilvl="8" w:tplc="0C0A001B" w:tentative="1">
      <w:start w:val="1"/>
      <w:numFmt w:val="lowerRoman"/>
      <w:lvlText w:val="%9."/>
      <w:lvlJc w:val="right"/>
      <w:pPr>
        <w:ind w:left="6720" w:hanging="180"/>
      </w:pPr>
    </w:lvl>
  </w:abstractNum>
  <w:abstractNum w:abstractNumId="5">
    <w:nsid w:val="36441D52"/>
    <w:multiLevelType w:val="hybridMultilevel"/>
    <w:tmpl w:val="2CA2CB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DA51ED5"/>
    <w:multiLevelType w:val="hybridMultilevel"/>
    <w:tmpl w:val="C9984D5E"/>
    <w:lvl w:ilvl="0" w:tplc="0FBAC5E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52670EA9"/>
    <w:multiLevelType w:val="hybridMultilevel"/>
    <w:tmpl w:val="D730CE34"/>
    <w:lvl w:ilvl="0" w:tplc="21926458">
      <w:start w:val="1"/>
      <w:numFmt w:val="lowerLetter"/>
      <w:lvlText w:val="%1)"/>
      <w:lvlJc w:val="left"/>
      <w:pPr>
        <w:ind w:left="1320" w:hanging="360"/>
      </w:pPr>
      <w:rPr>
        <w:rFonts w:hint="default"/>
        <w:b w:val="0"/>
        <w:i/>
      </w:rPr>
    </w:lvl>
    <w:lvl w:ilvl="1" w:tplc="0C0A0019" w:tentative="1">
      <w:start w:val="1"/>
      <w:numFmt w:val="lowerLetter"/>
      <w:lvlText w:val="%2."/>
      <w:lvlJc w:val="left"/>
      <w:pPr>
        <w:ind w:left="2040" w:hanging="360"/>
      </w:pPr>
    </w:lvl>
    <w:lvl w:ilvl="2" w:tplc="0C0A001B" w:tentative="1">
      <w:start w:val="1"/>
      <w:numFmt w:val="lowerRoman"/>
      <w:lvlText w:val="%3."/>
      <w:lvlJc w:val="right"/>
      <w:pPr>
        <w:ind w:left="2760" w:hanging="180"/>
      </w:pPr>
    </w:lvl>
    <w:lvl w:ilvl="3" w:tplc="0C0A000F" w:tentative="1">
      <w:start w:val="1"/>
      <w:numFmt w:val="decimal"/>
      <w:lvlText w:val="%4."/>
      <w:lvlJc w:val="left"/>
      <w:pPr>
        <w:ind w:left="3480" w:hanging="360"/>
      </w:pPr>
    </w:lvl>
    <w:lvl w:ilvl="4" w:tplc="0C0A0019" w:tentative="1">
      <w:start w:val="1"/>
      <w:numFmt w:val="lowerLetter"/>
      <w:lvlText w:val="%5."/>
      <w:lvlJc w:val="left"/>
      <w:pPr>
        <w:ind w:left="4200" w:hanging="360"/>
      </w:pPr>
    </w:lvl>
    <w:lvl w:ilvl="5" w:tplc="0C0A001B" w:tentative="1">
      <w:start w:val="1"/>
      <w:numFmt w:val="lowerRoman"/>
      <w:lvlText w:val="%6."/>
      <w:lvlJc w:val="right"/>
      <w:pPr>
        <w:ind w:left="4920" w:hanging="180"/>
      </w:pPr>
    </w:lvl>
    <w:lvl w:ilvl="6" w:tplc="0C0A000F" w:tentative="1">
      <w:start w:val="1"/>
      <w:numFmt w:val="decimal"/>
      <w:lvlText w:val="%7."/>
      <w:lvlJc w:val="left"/>
      <w:pPr>
        <w:ind w:left="5640" w:hanging="360"/>
      </w:pPr>
    </w:lvl>
    <w:lvl w:ilvl="7" w:tplc="0C0A0019" w:tentative="1">
      <w:start w:val="1"/>
      <w:numFmt w:val="lowerLetter"/>
      <w:lvlText w:val="%8."/>
      <w:lvlJc w:val="left"/>
      <w:pPr>
        <w:ind w:left="6360" w:hanging="360"/>
      </w:pPr>
    </w:lvl>
    <w:lvl w:ilvl="8" w:tplc="0C0A001B" w:tentative="1">
      <w:start w:val="1"/>
      <w:numFmt w:val="lowerRoman"/>
      <w:lvlText w:val="%9."/>
      <w:lvlJc w:val="right"/>
      <w:pPr>
        <w:ind w:left="7080" w:hanging="180"/>
      </w:pPr>
    </w:lvl>
  </w:abstractNum>
  <w:abstractNum w:abstractNumId="8">
    <w:nsid w:val="6E226D84"/>
    <w:multiLevelType w:val="hybridMultilevel"/>
    <w:tmpl w:val="1C2E5B0C"/>
    <w:lvl w:ilvl="0" w:tplc="5ABA021E">
      <w:start w:val="2"/>
      <w:numFmt w:val="lowerLetter"/>
      <w:lvlText w:val="%1)"/>
      <w:lvlJc w:val="left"/>
      <w:pPr>
        <w:ind w:left="927" w:hanging="360"/>
      </w:pPr>
      <w:rPr>
        <w:rFonts w:hint="default"/>
        <w:i/>
        <w:strike w:val="0"/>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9">
    <w:nsid w:val="719D5ECB"/>
    <w:multiLevelType w:val="hybridMultilevel"/>
    <w:tmpl w:val="0384166A"/>
    <w:lvl w:ilvl="0" w:tplc="502AD416">
      <w:start w:val="1"/>
      <w:numFmt w:val="lowerLetter"/>
      <w:lvlText w:val="%1)"/>
      <w:lvlJc w:val="left"/>
      <w:pPr>
        <w:ind w:left="927"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7A130A31"/>
    <w:multiLevelType w:val="hybridMultilevel"/>
    <w:tmpl w:val="0384166A"/>
    <w:lvl w:ilvl="0" w:tplc="502AD416">
      <w:start w:val="1"/>
      <w:numFmt w:val="lowerLetter"/>
      <w:lvlText w:val="%1)"/>
      <w:lvlJc w:val="left"/>
      <w:pPr>
        <w:ind w:left="360" w:hanging="360"/>
      </w:pPr>
      <w:rPr>
        <w:rFonts w:hint="default"/>
        <w:i/>
      </w:rPr>
    </w:lvl>
    <w:lvl w:ilvl="1" w:tplc="0C0A0019" w:tentative="1">
      <w:start w:val="1"/>
      <w:numFmt w:val="lowerLetter"/>
      <w:lvlText w:val="%2."/>
      <w:lvlJc w:val="left"/>
      <w:pPr>
        <w:ind w:left="873" w:hanging="360"/>
      </w:pPr>
    </w:lvl>
    <w:lvl w:ilvl="2" w:tplc="0C0A001B" w:tentative="1">
      <w:start w:val="1"/>
      <w:numFmt w:val="lowerRoman"/>
      <w:lvlText w:val="%3."/>
      <w:lvlJc w:val="right"/>
      <w:pPr>
        <w:ind w:left="1593" w:hanging="180"/>
      </w:pPr>
    </w:lvl>
    <w:lvl w:ilvl="3" w:tplc="0C0A000F" w:tentative="1">
      <w:start w:val="1"/>
      <w:numFmt w:val="decimal"/>
      <w:lvlText w:val="%4."/>
      <w:lvlJc w:val="left"/>
      <w:pPr>
        <w:ind w:left="2313" w:hanging="360"/>
      </w:pPr>
    </w:lvl>
    <w:lvl w:ilvl="4" w:tplc="0C0A0019" w:tentative="1">
      <w:start w:val="1"/>
      <w:numFmt w:val="lowerLetter"/>
      <w:lvlText w:val="%5."/>
      <w:lvlJc w:val="left"/>
      <w:pPr>
        <w:ind w:left="3033" w:hanging="360"/>
      </w:pPr>
    </w:lvl>
    <w:lvl w:ilvl="5" w:tplc="0C0A001B" w:tentative="1">
      <w:start w:val="1"/>
      <w:numFmt w:val="lowerRoman"/>
      <w:lvlText w:val="%6."/>
      <w:lvlJc w:val="right"/>
      <w:pPr>
        <w:ind w:left="3753" w:hanging="180"/>
      </w:pPr>
    </w:lvl>
    <w:lvl w:ilvl="6" w:tplc="0C0A000F" w:tentative="1">
      <w:start w:val="1"/>
      <w:numFmt w:val="decimal"/>
      <w:lvlText w:val="%7."/>
      <w:lvlJc w:val="left"/>
      <w:pPr>
        <w:ind w:left="4473" w:hanging="360"/>
      </w:pPr>
    </w:lvl>
    <w:lvl w:ilvl="7" w:tplc="0C0A0019" w:tentative="1">
      <w:start w:val="1"/>
      <w:numFmt w:val="lowerLetter"/>
      <w:lvlText w:val="%8."/>
      <w:lvlJc w:val="left"/>
      <w:pPr>
        <w:ind w:left="5193" w:hanging="360"/>
      </w:pPr>
    </w:lvl>
    <w:lvl w:ilvl="8" w:tplc="0C0A001B" w:tentative="1">
      <w:start w:val="1"/>
      <w:numFmt w:val="lowerRoman"/>
      <w:lvlText w:val="%9."/>
      <w:lvlJc w:val="right"/>
      <w:pPr>
        <w:ind w:left="5913" w:hanging="180"/>
      </w:pPr>
    </w:lvl>
  </w:abstractNum>
  <w:abstractNum w:abstractNumId="11">
    <w:nsid w:val="7CAC1E71"/>
    <w:multiLevelType w:val="hybridMultilevel"/>
    <w:tmpl w:val="E934FF28"/>
    <w:lvl w:ilvl="0" w:tplc="ADCACC72">
      <w:start w:val="1"/>
      <w:numFmt w:val="lowerRoman"/>
      <w:lvlText w:val="%1)"/>
      <w:lvlJc w:val="left"/>
      <w:pPr>
        <w:ind w:left="1004" w:hanging="72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num w:numId="1">
    <w:abstractNumId w:val="7"/>
  </w:num>
  <w:num w:numId="2">
    <w:abstractNumId w:val="1"/>
  </w:num>
  <w:num w:numId="3">
    <w:abstractNumId w:val="11"/>
  </w:num>
  <w:num w:numId="4">
    <w:abstractNumId w:val="4"/>
  </w:num>
  <w:num w:numId="5">
    <w:abstractNumId w:val="9"/>
  </w:num>
  <w:num w:numId="6">
    <w:abstractNumId w:val="10"/>
  </w:num>
  <w:num w:numId="7">
    <w:abstractNumId w:val="3"/>
  </w:num>
  <w:num w:numId="8">
    <w:abstractNumId w:val="8"/>
  </w:num>
  <w:num w:numId="9">
    <w:abstractNumId w:val="2"/>
  </w:num>
  <w:num w:numId="10">
    <w:abstractNumId w:val="5"/>
  </w:num>
  <w:num w:numId="11">
    <w:abstractNumId w:val="6"/>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32769"/>
  </w:hdrShapeDefaults>
  <w:footnotePr>
    <w:footnote w:id="-1"/>
    <w:footnote w:id="0"/>
  </w:footnotePr>
  <w:endnotePr>
    <w:endnote w:id="-1"/>
    <w:endnote w:id="0"/>
  </w:endnotePr>
  <w:compat/>
  <w:rsids>
    <w:rsidRoot w:val="0066686F"/>
    <w:rsid w:val="0001132A"/>
    <w:rsid w:val="000156CD"/>
    <w:rsid w:val="00023205"/>
    <w:rsid w:val="000237A9"/>
    <w:rsid w:val="00034A40"/>
    <w:rsid w:val="00036B37"/>
    <w:rsid w:val="00050D54"/>
    <w:rsid w:val="00073E4E"/>
    <w:rsid w:val="00074F0B"/>
    <w:rsid w:val="00092B9B"/>
    <w:rsid w:val="000950E0"/>
    <w:rsid w:val="000A7669"/>
    <w:rsid w:val="000B1813"/>
    <w:rsid w:val="000B184C"/>
    <w:rsid w:val="000C369A"/>
    <w:rsid w:val="000D7FC3"/>
    <w:rsid w:val="0010508B"/>
    <w:rsid w:val="00110FE4"/>
    <w:rsid w:val="00114152"/>
    <w:rsid w:val="001266B7"/>
    <w:rsid w:val="00144C26"/>
    <w:rsid w:val="00144CD3"/>
    <w:rsid w:val="001576B3"/>
    <w:rsid w:val="00161E33"/>
    <w:rsid w:val="001A7AF7"/>
    <w:rsid w:val="001B4283"/>
    <w:rsid w:val="001C76E5"/>
    <w:rsid w:val="001D2A3E"/>
    <w:rsid w:val="001D3D05"/>
    <w:rsid w:val="001E3E2E"/>
    <w:rsid w:val="001E5FD1"/>
    <w:rsid w:val="0020001D"/>
    <w:rsid w:val="00222923"/>
    <w:rsid w:val="002266B1"/>
    <w:rsid w:val="002502C7"/>
    <w:rsid w:val="0025741D"/>
    <w:rsid w:val="002635A5"/>
    <w:rsid w:val="0026499C"/>
    <w:rsid w:val="00274B69"/>
    <w:rsid w:val="0029653D"/>
    <w:rsid w:val="002A5D49"/>
    <w:rsid w:val="002C075E"/>
    <w:rsid w:val="002D2269"/>
    <w:rsid w:val="002E219A"/>
    <w:rsid w:val="002F1FA3"/>
    <w:rsid w:val="002F3D33"/>
    <w:rsid w:val="00307F7A"/>
    <w:rsid w:val="00322246"/>
    <w:rsid w:val="003232AF"/>
    <w:rsid w:val="00323D33"/>
    <w:rsid w:val="00331224"/>
    <w:rsid w:val="003403A6"/>
    <w:rsid w:val="003419D5"/>
    <w:rsid w:val="00357840"/>
    <w:rsid w:val="00357B49"/>
    <w:rsid w:val="00373894"/>
    <w:rsid w:val="0037587E"/>
    <w:rsid w:val="00377910"/>
    <w:rsid w:val="003866E4"/>
    <w:rsid w:val="00392DD5"/>
    <w:rsid w:val="003C1523"/>
    <w:rsid w:val="003C228C"/>
    <w:rsid w:val="003D785A"/>
    <w:rsid w:val="003F6178"/>
    <w:rsid w:val="003F6E57"/>
    <w:rsid w:val="003F771A"/>
    <w:rsid w:val="00401FB2"/>
    <w:rsid w:val="00466CDE"/>
    <w:rsid w:val="00485578"/>
    <w:rsid w:val="004C6BE5"/>
    <w:rsid w:val="004C6C41"/>
    <w:rsid w:val="004D2A64"/>
    <w:rsid w:val="004E7369"/>
    <w:rsid w:val="0050440F"/>
    <w:rsid w:val="005206AA"/>
    <w:rsid w:val="00523367"/>
    <w:rsid w:val="005622F6"/>
    <w:rsid w:val="005704E8"/>
    <w:rsid w:val="00574AA6"/>
    <w:rsid w:val="005B361F"/>
    <w:rsid w:val="005C057F"/>
    <w:rsid w:val="005E3236"/>
    <w:rsid w:val="005E518B"/>
    <w:rsid w:val="006013FF"/>
    <w:rsid w:val="00635971"/>
    <w:rsid w:val="00637409"/>
    <w:rsid w:val="006377DF"/>
    <w:rsid w:val="00651279"/>
    <w:rsid w:val="00651C37"/>
    <w:rsid w:val="00663E55"/>
    <w:rsid w:val="0066686F"/>
    <w:rsid w:val="006776B5"/>
    <w:rsid w:val="0068776D"/>
    <w:rsid w:val="00693E3D"/>
    <w:rsid w:val="006A14F5"/>
    <w:rsid w:val="006B4CEB"/>
    <w:rsid w:val="006C5013"/>
    <w:rsid w:val="006C7586"/>
    <w:rsid w:val="006F0D2E"/>
    <w:rsid w:val="006F67D4"/>
    <w:rsid w:val="0072100A"/>
    <w:rsid w:val="007265EF"/>
    <w:rsid w:val="007327D0"/>
    <w:rsid w:val="0074473A"/>
    <w:rsid w:val="00750C99"/>
    <w:rsid w:val="007567B3"/>
    <w:rsid w:val="00762CDE"/>
    <w:rsid w:val="00772EEB"/>
    <w:rsid w:val="00774D29"/>
    <w:rsid w:val="007A4298"/>
    <w:rsid w:val="007C1384"/>
    <w:rsid w:val="007D487C"/>
    <w:rsid w:val="007F2DA3"/>
    <w:rsid w:val="007F36BC"/>
    <w:rsid w:val="007F6F4F"/>
    <w:rsid w:val="0081333C"/>
    <w:rsid w:val="008354F3"/>
    <w:rsid w:val="0083573F"/>
    <w:rsid w:val="008413FC"/>
    <w:rsid w:val="00842E51"/>
    <w:rsid w:val="008442CE"/>
    <w:rsid w:val="00850264"/>
    <w:rsid w:val="00872B70"/>
    <w:rsid w:val="00895D5B"/>
    <w:rsid w:val="008A09F1"/>
    <w:rsid w:val="008A0BCD"/>
    <w:rsid w:val="008A3278"/>
    <w:rsid w:val="008A4F91"/>
    <w:rsid w:val="008A636B"/>
    <w:rsid w:val="008B7970"/>
    <w:rsid w:val="008E248C"/>
    <w:rsid w:val="008E5F14"/>
    <w:rsid w:val="008F226D"/>
    <w:rsid w:val="008F3D44"/>
    <w:rsid w:val="00901173"/>
    <w:rsid w:val="00913D5C"/>
    <w:rsid w:val="0095220E"/>
    <w:rsid w:val="009A0E69"/>
    <w:rsid w:val="009B3FD2"/>
    <w:rsid w:val="009D0416"/>
    <w:rsid w:val="009D05A6"/>
    <w:rsid w:val="009F36D4"/>
    <w:rsid w:val="00A2137F"/>
    <w:rsid w:val="00A24F99"/>
    <w:rsid w:val="00A31C73"/>
    <w:rsid w:val="00A32066"/>
    <w:rsid w:val="00A45203"/>
    <w:rsid w:val="00A503A0"/>
    <w:rsid w:val="00A61572"/>
    <w:rsid w:val="00A70754"/>
    <w:rsid w:val="00A72F7E"/>
    <w:rsid w:val="00A90ED1"/>
    <w:rsid w:val="00A9443C"/>
    <w:rsid w:val="00A94FEA"/>
    <w:rsid w:val="00AA2E2E"/>
    <w:rsid w:val="00AE7DD6"/>
    <w:rsid w:val="00AF2E73"/>
    <w:rsid w:val="00AF6E68"/>
    <w:rsid w:val="00B049DA"/>
    <w:rsid w:val="00B2463B"/>
    <w:rsid w:val="00B340FE"/>
    <w:rsid w:val="00B37EB3"/>
    <w:rsid w:val="00B4748B"/>
    <w:rsid w:val="00B522DD"/>
    <w:rsid w:val="00B611B6"/>
    <w:rsid w:val="00B615C5"/>
    <w:rsid w:val="00B70D3B"/>
    <w:rsid w:val="00B72590"/>
    <w:rsid w:val="00B85663"/>
    <w:rsid w:val="00B86DE2"/>
    <w:rsid w:val="00B96B23"/>
    <w:rsid w:val="00BA5DF3"/>
    <w:rsid w:val="00BA5F37"/>
    <w:rsid w:val="00BF3976"/>
    <w:rsid w:val="00C004FA"/>
    <w:rsid w:val="00C168B0"/>
    <w:rsid w:val="00C24228"/>
    <w:rsid w:val="00C30964"/>
    <w:rsid w:val="00C3701B"/>
    <w:rsid w:val="00C6481A"/>
    <w:rsid w:val="00C77D5C"/>
    <w:rsid w:val="00CA4B5A"/>
    <w:rsid w:val="00CB66E0"/>
    <w:rsid w:val="00CC759F"/>
    <w:rsid w:val="00CF32FC"/>
    <w:rsid w:val="00CF5372"/>
    <w:rsid w:val="00D0530C"/>
    <w:rsid w:val="00D12B6D"/>
    <w:rsid w:val="00D40806"/>
    <w:rsid w:val="00D44E04"/>
    <w:rsid w:val="00D616E9"/>
    <w:rsid w:val="00D76585"/>
    <w:rsid w:val="00D911CC"/>
    <w:rsid w:val="00DA5056"/>
    <w:rsid w:val="00DB40ED"/>
    <w:rsid w:val="00DD5C0A"/>
    <w:rsid w:val="00DD7696"/>
    <w:rsid w:val="00DF0E12"/>
    <w:rsid w:val="00DF1C34"/>
    <w:rsid w:val="00DF2AFF"/>
    <w:rsid w:val="00DF7C2E"/>
    <w:rsid w:val="00E14503"/>
    <w:rsid w:val="00E16ABC"/>
    <w:rsid w:val="00E3324B"/>
    <w:rsid w:val="00E710FA"/>
    <w:rsid w:val="00E922C1"/>
    <w:rsid w:val="00EA0467"/>
    <w:rsid w:val="00EB4B8A"/>
    <w:rsid w:val="00EB69B0"/>
    <w:rsid w:val="00EC6A7F"/>
    <w:rsid w:val="00EE3B34"/>
    <w:rsid w:val="00EE77C0"/>
    <w:rsid w:val="00EE7C2F"/>
    <w:rsid w:val="00EF3F93"/>
    <w:rsid w:val="00EF4E56"/>
    <w:rsid w:val="00F1333D"/>
    <w:rsid w:val="00F54F40"/>
    <w:rsid w:val="00F62DA3"/>
    <w:rsid w:val="00F702BF"/>
    <w:rsid w:val="00F8738C"/>
    <w:rsid w:val="00F87572"/>
    <w:rsid w:val="00F921F9"/>
    <w:rsid w:val="00FB249B"/>
    <w:rsid w:val="00FD74AD"/>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Normal"/>
    <w:next w:val="Normal"/>
    <w:link w:val="Ttulo1Car"/>
    <w:qFormat/>
    <w:rsid w:val="002A5D49"/>
    <w:pPr>
      <w:keepNext/>
      <w:autoSpaceDE w:val="0"/>
      <w:autoSpaceDN w:val="0"/>
      <w:adjustRightInd w:val="0"/>
      <w:jc w:val="both"/>
      <w:outlineLvl w:val="0"/>
    </w:pPr>
    <w:rPr>
      <w:rFonts w:ascii="Comic Sans MS" w:eastAsia="Times New Roman" w:hAnsi="Comic Sans MS"/>
      <w:sz w:val="24"/>
      <w:szCs w:val="20"/>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Standard">
    <w:name w:val="Standard"/>
    <w:rsid w:val="00357B49"/>
    <w:pPr>
      <w:suppressAutoHyphens/>
      <w:autoSpaceDN w:val="0"/>
      <w:textAlignment w:val="baseline"/>
    </w:pPr>
    <w:rPr>
      <w:rFonts w:ascii="Noto Sans" w:eastAsia="Noto Sans" w:hAnsi="Noto Sans" w:cs="Noto Sans"/>
      <w:kern w:val="3"/>
      <w:sz w:val="22"/>
      <w:szCs w:val="22"/>
      <w:lang w:val="ca-ES" w:eastAsia="en-US"/>
    </w:rPr>
  </w:style>
  <w:style w:type="paragraph" w:customStyle="1" w:styleId="Default">
    <w:name w:val="Default"/>
    <w:rsid w:val="00CB66E0"/>
    <w:pPr>
      <w:autoSpaceDE w:val="0"/>
      <w:autoSpaceDN w:val="0"/>
      <w:adjustRightInd w:val="0"/>
    </w:pPr>
    <w:rPr>
      <w:rFonts w:ascii="Arial" w:eastAsia="Times New Roman" w:hAnsi="Arial" w:cs="Arial"/>
      <w:color w:val="000000"/>
      <w:sz w:val="24"/>
      <w:szCs w:val="24"/>
    </w:rPr>
  </w:style>
  <w:style w:type="paragraph" w:styleId="Textoindependiente3">
    <w:name w:val="Body Text 3"/>
    <w:basedOn w:val="Normal"/>
    <w:link w:val="Textoindependiente3Car"/>
    <w:uiPriority w:val="99"/>
    <w:unhideWhenUsed/>
    <w:rsid w:val="00B37EB3"/>
    <w:pPr>
      <w:spacing w:after="120"/>
    </w:pPr>
    <w:rPr>
      <w:rFonts w:ascii="Times New Roman" w:eastAsia="Times New Roman" w:hAnsi="Times New Roman"/>
      <w:sz w:val="16"/>
      <w:szCs w:val="16"/>
      <w:lang w:eastAsia="es-ES"/>
    </w:rPr>
  </w:style>
  <w:style w:type="character" w:customStyle="1" w:styleId="Textoindependiente3Car">
    <w:name w:val="Texto independiente 3 Car"/>
    <w:basedOn w:val="Fuentedeprrafopredeter"/>
    <w:link w:val="Textoindependiente3"/>
    <w:uiPriority w:val="99"/>
    <w:rsid w:val="00B37EB3"/>
    <w:rPr>
      <w:rFonts w:ascii="Times New Roman" w:eastAsia="Times New Roman" w:hAnsi="Times New Roman"/>
      <w:sz w:val="16"/>
      <w:szCs w:val="16"/>
      <w:lang w:val="ca-ES"/>
    </w:rPr>
  </w:style>
  <w:style w:type="character" w:customStyle="1" w:styleId="Ttulo1Car">
    <w:name w:val="Título 1 Car"/>
    <w:basedOn w:val="Fuentedeprrafopredeter"/>
    <w:link w:val="Ttulo1"/>
    <w:rsid w:val="002A5D49"/>
    <w:rPr>
      <w:rFonts w:ascii="Comic Sans MS" w:eastAsia="Times New Roman" w:hAnsi="Comic Sans MS"/>
      <w:sz w:val="24"/>
      <w:u w:val="single"/>
    </w:rPr>
  </w:style>
  <w:style w:type="paragraph" w:customStyle="1" w:styleId="parrafo21">
    <w:name w:val="parrafo_21"/>
    <w:basedOn w:val="Default"/>
    <w:next w:val="Default"/>
    <w:uiPriority w:val="99"/>
    <w:rsid w:val="00F921F9"/>
    <w:rPr>
      <w:rFonts w:cs="Times New Roman"/>
      <w:color w:val="auto"/>
    </w:rPr>
  </w:style>
  <w:style w:type="paragraph" w:styleId="Prrafodelista">
    <w:name w:val="List Paragraph"/>
    <w:basedOn w:val="Normal"/>
    <w:uiPriority w:val="34"/>
    <w:qFormat/>
    <w:rsid w:val="00F921F9"/>
    <w:pPr>
      <w:ind w:left="720"/>
      <w:contextualSpacing/>
    </w:pPr>
  </w:style>
</w:styles>
</file>

<file path=word/webSettings.xml><?xml version="1.0" encoding="utf-8"?>
<w:webSettings xmlns:r="http://schemas.openxmlformats.org/officeDocument/2006/relationships" xmlns:w="http://schemas.openxmlformats.org/wordprocessingml/2006/main">
  <w:divs>
    <w:div w:id="2041667374">
      <w:bodyDiv w:val="1"/>
      <w:marLeft w:val="0"/>
      <w:marRight w:val="0"/>
      <w:marTop w:val="0"/>
      <w:marBottom w:val="0"/>
      <w:divBdr>
        <w:top w:val="none" w:sz="0" w:space="0" w:color="auto"/>
        <w:left w:val="none" w:sz="0" w:space="0" w:color="auto"/>
        <w:bottom w:val="none" w:sz="0" w:space="0" w:color="auto"/>
        <w:right w:val="none" w:sz="0" w:space="0" w:color="auto"/>
      </w:divBdr>
      <w:divsChild>
        <w:div w:id="173619270">
          <w:marLeft w:val="0"/>
          <w:marRight w:val="0"/>
          <w:marTop w:val="0"/>
          <w:marBottom w:val="0"/>
          <w:divBdr>
            <w:top w:val="none" w:sz="0" w:space="0" w:color="auto"/>
            <w:left w:val="none" w:sz="0" w:space="0" w:color="auto"/>
            <w:bottom w:val="none" w:sz="0" w:space="0" w:color="auto"/>
            <w:right w:val="none" w:sz="0" w:space="0" w:color="auto"/>
          </w:divBdr>
          <w:divsChild>
            <w:div w:id="1958246786">
              <w:marLeft w:val="0"/>
              <w:marRight w:val="0"/>
              <w:marTop w:val="0"/>
              <w:marBottom w:val="0"/>
              <w:divBdr>
                <w:top w:val="none" w:sz="0" w:space="0" w:color="auto"/>
                <w:left w:val="none" w:sz="0" w:space="0" w:color="auto"/>
                <w:bottom w:val="none" w:sz="0" w:space="0" w:color="auto"/>
                <w:right w:val="none" w:sz="0" w:space="0" w:color="auto"/>
              </w:divBdr>
              <w:divsChild>
                <w:div w:id="65229746">
                  <w:marLeft w:val="0"/>
                  <w:marRight w:val="0"/>
                  <w:marTop w:val="300"/>
                  <w:marBottom w:val="0"/>
                  <w:divBdr>
                    <w:top w:val="none" w:sz="0" w:space="0" w:color="auto"/>
                    <w:left w:val="none" w:sz="0" w:space="0" w:color="auto"/>
                    <w:bottom w:val="none" w:sz="0" w:space="0" w:color="auto"/>
                    <w:right w:val="none" w:sz="0" w:space="0" w:color="auto"/>
                  </w:divBdr>
                  <w:divsChild>
                    <w:div w:id="2002542682">
                      <w:marLeft w:val="0"/>
                      <w:marRight w:val="0"/>
                      <w:marTop w:val="0"/>
                      <w:marBottom w:val="0"/>
                      <w:divBdr>
                        <w:top w:val="none" w:sz="0" w:space="0" w:color="auto"/>
                        <w:left w:val="none" w:sz="0" w:space="0" w:color="auto"/>
                        <w:bottom w:val="none" w:sz="0" w:space="0" w:color="auto"/>
                        <w:right w:val="none" w:sz="0" w:space="0" w:color="auto"/>
                      </w:divBdr>
                      <w:divsChild>
                        <w:div w:id="1080247494">
                          <w:marLeft w:val="0"/>
                          <w:marRight w:val="0"/>
                          <w:marTop w:val="0"/>
                          <w:marBottom w:val="0"/>
                          <w:divBdr>
                            <w:top w:val="none" w:sz="0" w:space="0" w:color="auto"/>
                            <w:left w:val="none" w:sz="0" w:space="0" w:color="auto"/>
                            <w:bottom w:val="none" w:sz="0" w:space="0" w:color="auto"/>
                            <w:right w:val="none" w:sz="0" w:space="0" w:color="auto"/>
                          </w:divBdr>
                          <w:divsChild>
                            <w:div w:id="172183853">
                              <w:marLeft w:val="0"/>
                              <w:marRight w:val="0"/>
                              <w:marTop w:val="0"/>
                              <w:marBottom w:val="0"/>
                              <w:divBdr>
                                <w:top w:val="none" w:sz="0" w:space="0" w:color="auto"/>
                                <w:left w:val="none" w:sz="0" w:space="0" w:color="auto"/>
                                <w:bottom w:val="none" w:sz="0" w:space="0" w:color="auto"/>
                                <w:right w:val="none" w:sz="0" w:space="0" w:color="auto"/>
                              </w:divBdr>
                              <w:divsChild>
                                <w:div w:id="61525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00825\AppData\Local\Temp\000.%20Plantilla%20base%20(p1_6,5)-4.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000. Plantilla base (p1_6,5)-4</Template>
  <TotalTime>4</TotalTime>
  <Pages>19</Pages>
  <Words>7310</Words>
  <Characters>40209</Characters>
  <Application>Microsoft Office Word</Application>
  <DocSecurity>4</DocSecurity>
  <Lines>335</Lines>
  <Paragraphs>94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47425</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u100825</dc:creator>
  <cp:lastModifiedBy>u04518</cp:lastModifiedBy>
  <cp:revision>2</cp:revision>
  <cp:lastPrinted>2019-03-15T10:48:00Z</cp:lastPrinted>
  <dcterms:created xsi:type="dcterms:W3CDTF">2019-03-15T10:52:00Z</dcterms:created>
  <dcterms:modified xsi:type="dcterms:W3CDTF">2019-03-15T10:52:00Z</dcterms:modified>
</cp:coreProperties>
</file>