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41" w:rsidRPr="00E84226" w:rsidRDefault="0055169D">
      <w:pPr>
        <w:pStyle w:val="Standard"/>
        <w:rPr>
          <w:rFonts w:ascii="Noto Sans" w:hAnsi="Noto Sans" w:cs="Noto Sans"/>
          <w:b/>
          <w:sz w:val="22"/>
          <w:szCs w:val="22"/>
        </w:rPr>
      </w:pPr>
      <w:r w:rsidRPr="00E84226">
        <w:rPr>
          <w:rFonts w:ascii="Noto Sans" w:hAnsi="Noto Sans" w:cs="Noto Sans"/>
          <w:b/>
          <w:sz w:val="22"/>
          <w:szCs w:val="22"/>
        </w:rPr>
        <w:t xml:space="preserve">Contrato </w:t>
      </w:r>
      <w:r w:rsidRPr="00E84226">
        <w:rPr>
          <w:rFonts w:ascii="Noto Sans" w:hAnsi="Noto Sans" w:cs="Noto Sans"/>
          <w:color w:val="7F7F7F"/>
          <w:sz w:val="22"/>
          <w:szCs w:val="22"/>
        </w:rPr>
        <w:t>[entre particulares]</w:t>
      </w:r>
    </w:p>
    <w:p w:rsidR="004C4041" w:rsidRPr="00E84226" w:rsidRDefault="004C4041">
      <w:pPr>
        <w:pStyle w:val="Standard"/>
        <w:rPr>
          <w:rFonts w:ascii="Noto Sans" w:hAnsi="Noto Sans" w:cs="Noto Sans"/>
          <w:sz w:val="22"/>
          <w:szCs w:val="22"/>
        </w:rPr>
      </w:pPr>
    </w:p>
    <w:p w:rsidR="0055169D" w:rsidRPr="00E84226" w:rsidRDefault="0055169D">
      <w:pPr>
        <w:pStyle w:val="Standard"/>
        <w:rPr>
          <w:rFonts w:ascii="Noto Sans" w:hAnsi="Noto Sans" w:cs="Noto Sans"/>
          <w:b/>
          <w:sz w:val="22"/>
          <w:szCs w:val="22"/>
        </w:rPr>
      </w:pPr>
      <w:r w:rsidRPr="00E84226">
        <w:rPr>
          <w:rFonts w:ascii="Noto Sans" w:hAnsi="Noto Sans" w:cs="Noto Sans"/>
          <w:b/>
          <w:sz w:val="22"/>
          <w:szCs w:val="22"/>
        </w:rPr>
        <w:t>Partes</w:t>
      </w:r>
    </w:p>
    <w:p w:rsidR="0055169D" w:rsidRPr="00E84226" w:rsidRDefault="0055169D">
      <w:pPr>
        <w:pStyle w:val="Standard"/>
        <w:rPr>
          <w:rFonts w:ascii="Noto Sans" w:hAnsi="Noto Sans" w:cs="Noto Sans"/>
          <w:sz w:val="22"/>
          <w:szCs w:val="22"/>
        </w:rPr>
      </w:pPr>
    </w:p>
    <w:p w:rsidR="004C4041" w:rsidRPr="00E84226" w:rsidRDefault="0055169D">
      <w:pPr>
        <w:pStyle w:val="Standard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color w:val="7F7F7F"/>
          <w:sz w:val="22"/>
          <w:szCs w:val="22"/>
        </w:rPr>
        <w:t xml:space="preserve">[nombre y </w:t>
      </w:r>
      <w:r w:rsidR="0010572C" w:rsidRPr="00E84226">
        <w:rPr>
          <w:rFonts w:ascii="Noto Sans" w:hAnsi="Noto Sans" w:cs="Noto Sans"/>
          <w:color w:val="7F7F7F"/>
          <w:sz w:val="22"/>
          <w:szCs w:val="22"/>
        </w:rPr>
        <w:t>apellidos</w:t>
      </w:r>
      <w:r w:rsidRPr="00E84226">
        <w:rPr>
          <w:rFonts w:ascii="Noto Sans" w:hAnsi="Noto Sans" w:cs="Noto Sans"/>
          <w:color w:val="7F7F7F"/>
          <w:sz w:val="22"/>
          <w:szCs w:val="22"/>
        </w:rPr>
        <w:t>]</w:t>
      </w:r>
      <w:r w:rsidRPr="00E84226">
        <w:rPr>
          <w:rFonts w:ascii="Noto Sans" w:hAnsi="Noto Sans" w:cs="Noto Sans"/>
          <w:color w:val="000000"/>
          <w:sz w:val="22"/>
          <w:szCs w:val="22"/>
        </w:rPr>
        <w:t>,</w:t>
      </w:r>
      <w:r w:rsidRPr="00E84226">
        <w:rPr>
          <w:rFonts w:ascii="Noto Sans" w:hAnsi="Noto Sans" w:cs="Noto Sans"/>
          <w:sz w:val="22"/>
          <w:szCs w:val="22"/>
        </w:rPr>
        <w:t xml:space="preserve"> con DNI/NIF </w:t>
      </w:r>
      <w:r w:rsidRPr="00E84226">
        <w:rPr>
          <w:rFonts w:ascii="Noto Sans" w:hAnsi="Noto Sans" w:cs="Noto Sans"/>
          <w:color w:val="7F7F7F"/>
          <w:sz w:val="22"/>
          <w:szCs w:val="22"/>
        </w:rPr>
        <w:t>[número]</w:t>
      </w:r>
      <w:r w:rsidRPr="00E84226">
        <w:rPr>
          <w:rFonts w:ascii="Noto Sans" w:hAnsi="Noto Sans" w:cs="Noto Sans"/>
          <w:sz w:val="22"/>
          <w:szCs w:val="22"/>
        </w:rPr>
        <w:t>,</w:t>
      </w:r>
      <w:r w:rsidRPr="00E84226">
        <w:rPr>
          <w:rFonts w:ascii="Noto Sans" w:hAnsi="Noto Sans" w:cs="Noto Sans"/>
          <w:color w:val="7F7F7F"/>
          <w:sz w:val="22"/>
          <w:szCs w:val="22"/>
        </w:rPr>
        <w:t xml:space="preserve"> </w:t>
      </w:r>
      <w:r w:rsidR="00A673C4" w:rsidRPr="00E84226">
        <w:rPr>
          <w:rFonts w:ascii="Noto Sans" w:hAnsi="Noto Sans" w:cs="Noto Sans"/>
          <w:sz w:val="22"/>
          <w:szCs w:val="22"/>
        </w:rPr>
        <w:t xml:space="preserve">titular de la instalación de producción de energía eléctrica de la modalidad con excedentes acogida a compensación con registro nº </w:t>
      </w:r>
      <w:r w:rsidR="007A232D">
        <w:rPr>
          <w:rFonts w:ascii="Noto Sans" w:hAnsi="Noto Sans" w:cs="Noto Sans"/>
          <w:color w:val="7F7F7F"/>
          <w:sz w:val="22"/>
          <w:szCs w:val="22"/>
        </w:rPr>
        <w:t>[número</w:t>
      </w:r>
      <w:r w:rsidR="00C25F35" w:rsidRPr="00E84226">
        <w:rPr>
          <w:rFonts w:ascii="Noto Sans" w:hAnsi="Noto Sans" w:cs="Noto Sans"/>
          <w:color w:val="7F7F7F"/>
          <w:sz w:val="22"/>
          <w:szCs w:val="22"/>
        </w:rPr>
        <w:t xml:space="preserve">] </w:t>
      </w:r>
      <w:r w:rsidR="00A673C4" w:rsidRPr="00E84226">
        <w:rPr>
          <w:rFonts w:ascii="Noto Sans" w:hAnsi="Noto Sans" w:cs="Noto Sans"/>
          <w:sz w:val="22"/>
          <w:szCs w:val="22"/>
        </w:rPr>
        <w:t xml:space="preserve">y situada en </w:t>
      </w:r>
      <w:r w:rsidR="00C25F35" w:rsidRPr="00E84226">
        <w:rPr>
          <w:rFonts w:ascii="Noto Sans" w:hAnsi="Noto Sans" w:cs="Noto Sans"/>
          <w:color w:val="7F7F7F"/>
          <w:sz w:val="22"/>
          <w:szCs w:val="22"/>
        </w:rPr>
        <w:t xml:space="preserve">[dirección </w:t>
      </w:r>
      <w:r w:rsidR="00E84226" w:rsidRPr="00E84226">
        <w:rPr>
          <w:rFonts w:ascii="Noto Sans" w:hAnsi="Noto Sans" w:cs="Noto Sans"/>
          <w:color w:val="7F7F7F"/>
          <w:sz w:val="22"/>
          <w:szCs w:val="22"/>
        </w:rPr>
        <w:t>completa</w:t>
      </w:r>
      <w:r w:rsidR="00C25F35" w:rsidRPr="00E84226">
        <w:rPr>
          <w:rFonts w:ascii="Noto Sans" w:hAnsi="Noto Sans" w:cs="Noto Sans"/>
          <w:color w:val="7F7F7F"/>
          <w:sz w:val="22"/>
          <w:szCs w:val="22"/>
        </w:rPr>
        <w:t>]</w:t>
      </w:r>
      <w:r w:rsidR="00C25F35" w:rsidRPr="00E84226">
        <w:rPr>
          <w:rFonts w:ascii="Noto Sans" w:hAnsi="Noto Sans" w:cs="Noto Sans"/>
          <w:sz w:val="22"/>
          <w:szCs w:val="22"/>
        </w:rPr>
        <w:t>,</w:t>
      </w:r>
      <w:r w:rsidR="00C25F35" w:rsidRPr="00E84226">
        <w:rPr>
          <w:rFonts w:ascii="Noto Sans" w:hAnsi="Noto Sans" w:cs="Noto Sans"/>
          <w:color w:val="7F7F7F"/>
          <w:sz w:val="22"/>
          <w:szCs w:val="22"/>
        </w:rPr>
        <w:t xml:space="preserve"> </w:t>
      </w:r>
      <w:r w:rsidR="00C25F35" w:rsidRPr="00E84226">
        <w:rPr>
          <w:rFonts w:ascii="Noto Sans" w:hAnsi="Noto Sans" w:cs="Noto Sans"/>
          <w:sz w:val="22"/>
          <w:szCs w:val="22"/>
        </w:rPr>
        <w:t xml:space="preserve">(en adelante, el productor). </w:t>
      </w:r>
    </w:p>
    <w:p w:rsidR="004C4041" w:rsidRPr="00E84226" w:rsidRDefault="004C4041">
      <w:pPr>
        <w:pStyle w:val="Standard"/>
        <w:rPr>
          <w:rFonts w:ascii="Noto Sans" w:hAnsi="Noto Sans" w:cs="Noto Sans"/>
          <w:sz w:val="22"/>
          <w:szCs w:val="22"/>
        </w:rPr>
      </w:pPr>
    </w:p>
    <w:p w:rsidR="004C4041" w:rsidRPr="00E84226" w:rsidRDefault="00C25F35">
      <w:pPr>
        <w:pStyle w:val="Standard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color w:val="7F7F7F"/>
          <w:sz w:val="22"/>
          <w:szCs w:val="22"/>
        </w:rPr>
        <w:t xml:space="preserve">[nombre y </w:t>
      </w:r>
      <w:r w:rsidR="0010572C" w:rsidRPr="00E84226">
        <w:rPr>
          <w:rFonts w:ascii="Noto Sans" w:hAnsi="Noto Sans" w:cs="Noto Sans"/>
          <w:color w:val="7F7F7F"/>
          <w:sz w:val="22"/>
          <w:szCs w:val="22"/>
        </w:rPr>
        <w:t>apellidos</w:t>
      </w:r>
      <w:r w:rsidRPr="00E84226">
        <w:rPr>
          <w:rFonts w:ascii="Noto Sans" w:hAnsi="Noto Sans" w:cs="Noto Sans"/>
          <w:color w:val="7F7F7F"/>
          <w:sz w:val="22"/>
          <w:szCs w:val="22"/>
        </w:rPr>
        <w:t>]</w:t>
      </w:r>
      <w:r w:rsidRPr="00E84226">
        <w:rPr>
          <w:rFonts w:ascii="Noto Sans" w:hAnsi="Noto Sans" w:cs="Noto Sans"/>
          <w:color w:val="000000"/>
          <w:sz w:val="22"/>
          <w:szCs w:val="22"/>
        </w:rPr>
        <w:t>,</w:t>
      </w:r>
      <w:r w:rsidRPr="00E84226">
        <w:rPr>
          <w:rFonts w:ascii="Noto Sans" w:hAnsi="Noto Sans" w:cs="Noto Sans"/>
          <w:sz w:val="22"/>
          <w:szCs w:val="22"/>
        </w:rPr>
        <w:t xml:space="preserve"> con DNI/NIF </w:t>
      </w:r>
      <w:r w:rsidRPr="00E84226">
        <w:rPr>
          <w:rFonts w:ascii="Noto Sans" w:hAnsi="Noto Sans" w:cs="Noto Sans"/>
          <w:color w:val="7F7F7F"/>
          <w:sz w:val="22"/>
          <w:szCs w:val="22"/>
        </w:rPr>
        <w:t>[número]</w:t>
      </w:r>
      <w:r w:rsidR="00A673C4" w:rsidRPr="00E84226">
        <w:rPr>
          <w:rFonts w:ascii="Noto Sans" w:hAnsi="Noto Sans" w:cs="Noto Sans"/>
          <w:sz w:val="22"/>
          <w:szCs w:val="22"/>
        </w:rPr>
        <w:t>,</w:t>
      </w:r>
      <w:r w:rsidR="00A673C4" w:rsidRPr="00E84226">
        <w:rPr>
          <w:rFonts w:ascii="Noto Sans" w:hAnsi="Noto Sans" w:cs="Noto Sans"/>
          <w:color w:val="7F7F7F"/>
          <w:sz w:val="22"/>
          <w:szCs w:val="22"/>
        </w:rPr>
        <w:t xml:space="preserve"> </w:t>
      </w:r>
      <w:r w:rsidR="00A673C4" w:rsidRPr="00E84226">
        <w:rPr>
          <w:rFonts w:ascii="Noto Sans" w:hAnsi="Noto Sans" w:cs="Noto Sans"/>
          <w:sz w:val="22"/>
          <w:szCs w:val="22"/>
        </w:rPr>
        <w:t xml:space="preserve">consumidor y titular del contrato </w:t>
      </w:r>
      <w:r w:rsidR="0010572C" w:rsidRPr="00E84226">
        <w:rPr>
          <w:rFonts w:ascii="Noto Sans" w:hAnsi="Noto Sans" w:cs="Noto Sans"/>
          <w:sz w:val="22"/>
          <w:szCs w:val="22"/>
        </w:rPr>
        <w:t>CUPS</w:t>
      </w:r>
      <w:r w:rsidRPr="00E84226">
        <w:rPr>
          <w:rFonts w:ascii="Noto Sans" w:hAnsi="Noto Sans" w:cs="Noto Sans"/>
          <w:sz w:val="22"/>
          <w:szCs w:val="22"/>
        </w:rPr>
        <w:t xml:space="preserve"> </w:t>
      </w:r>
      <w:r w:rsidRPr="00E84226">
        <w:rPr>
          <w:rFonts w:ascii="Noto Sans" w:hAnsi="Noto Sans" w:cs="Noto Sans"/>
          <w:color w:val="7F7F7F"/>
          <w:sz w:val="22"/>
          <w:szCs w:val="22"/>
        </w:rPr>
        <w:t>[...............................]</w:t>
      </w:r>
      <w:r w:rsidR="00A673C4" w:rsidRPr="00E84226">
        <w:rPr>
          <w:rFonts w:ascii="Noto Sans" w:hAnsi="Noto Sans" w:cs="Noto Sans"/>
          <w:color w:val="7F7F7F"/>
          <w:sz w:val="22"/>
          <w:szCs w:val="22"/>
        </w:rPr>
        <w:t xml:space="preserve"> </w:t>
      </w:r>
      <w:r w:rsidR="00A673C4" w:rsidRPr="00E84226">
        <w:rPr>
          <w:rFonts w:ascii="Noto Sans" w:hAnsi="Noto Sans" w:cs="Noto Sans"/>
          <w:sz w:val="22"/>
          <w:szCs w:val="22"/>
        </w:rPr>
        <w:t xml:space="preserve">de </w:t>
      </w:r>
      <w:r w:rsidRPr="00E84226">
        <w:rPr>
          <w:rFonts w:ascii="Noto Sans" w:hAnsi="Noto Sans" w:cs="Noto Sans"/>
          <w:color w:val="7F7F7F"/>
          <w:sz w:val="22"/>
          <w:szCs w:val="22"/>
        </w:rPr>
        <w:t>[</w:t>
      </w:r>
      <w:r w:rsidR="007A232D">
        <w:rPr>
          <w:rFonts w:ascii="Noto Sans" w:hAnsi="Noto Sans" w:cs="Noto Sans"/>
          <w:color w:val="7F7F7F"/>
          <w:sz w:val="22"/>
          <w:szCs w:val="22"/>
        </w:rPr>
        <w:t>dirección completa</w:t>
      </w:r>
      <w:r w:rsidRPr="00E84226">
        <w:rPr>
          <w:rFonts w:ascii="Noto Sans" w:hAnsi="Noto Sans" w:cs="Noto Sans"/>
          <w:color w:val="7F7F7F"/>
          <w:sz w:val="22"/>
          <w:szCs w:val="22"/>
        </w:rPr>
        <w:t>]</w:t>
      </w:r>
      <w:r w:rsidR="00E84226" w:rsidRPr="00E84226">
        <w:rPr>
          <w:rFonts w:ascii="Noto Sans" w:hAnsi="Noto Sans" w:cs="Noto Sans"/>
          <w:color w:val="000000"/>
          <w:sz w:val="22"/>
          <w:szCs w:val="22"/>
        </w:rPr>
        <w:t>,</w:t>
      </w:r>
      <w:r w:rsidR="00A673C4" w:rsidRPr="00E84226">
        <w:rPr>
          <w:rFonts w:ascii="Noto Sans" w:hAnsi="Noto Sans" w:cs="Noto Sans"/>
          <w:color w:val="7F7F7F"/>
          <w:sz w:val="22"/>
          <w:szCs w:val="22"/>
        </w:rPr>
        <w:t xml:space="preserve"> </w:t>
      </w:r>
      <w:r w:rsidRPr="00E84226">
        <w:rPr>
          <w:rFonts w:ascii="Noto Sans" w:hAnsi="Noto Sans" w:cs="Noto Sans"/>
          <w:sz w:val="22"/>
          <w:szCs w:val="22"/>
        </w:rPr>
        <w:t>(en adelante, el consumidor).</w:t>
      </w:r>
    </w:p>
    <w:p w:rsidR="004C4041" w:rsidRPr="00E84226" w:rsidRDefault="004C4041">
      <w:pPr>
        <w:pStyle w:val="Standard"/>
        <w:rPr>
          <w:rFonts w:ascii="Noto Sans" w:hAnsi="Noto Sans" w:cs="Noto Sans"/>
          <w:sz w:val="22"/>
          <w:szCs w:val="22"/>
        </w:rPr>
      </w:pPr>
    </w:p>
    <w:p w:rsidR="00C25F35" w:rsidRPr="00E84226" w:rsidRDefault="00C25F35">
      <w:pPr>
        <w:pStyle w:val="Standard"/>
        <w:rPr>
          <w:rFonts w:ascii="Noto Sans" w:hAnsi="Noto Sans" w:cs="Noto Sans"/>
          <w:b/>
          <w:sz w:val="22"/>
          <w:szCs w:val="22"/>
        </w:rPr>
      </w:pPr>
      <w:r w:rsidRPr="00E84226">
        <w:rPr>
          <w:rFonts w:ascii="Noto Sans" w:hAnsi="Noto Sans" w:cs="Noto Sans"/>
          <w:b/>
          <w:sz w:val="22"/>
          <w:szCs w:val="22"/>
        </w:rPr>
        <w:t>Antecedentes</w:t>
      </w:r>
    </w:p>
    <w:p w:rsidR="004C4908" w:rsidRPr="00E84226" w:rsidRDefault="004C4908">
      <w:pPr>
        <w:pStyle w:val="Standard"/>
        <w:rPr>
          <w:rFonts w:ascii="Noto Sans" w:hAnsi="Noto Sans" w:cs="Noto Sans"/>
          <w:b/>
          <w:sz w:val="22"/>
          <w:szCs w:val="22"/>
        </w:rPr>
      </w:pPr>
    </w:p>
    <w:p w:rsidR="004B68DE" w:rsidRPr="004B68DE" w:rsidRDefault="004B68DE" w:rsidP="004B68DE">
      <w:pPr>
        <w:shd w:val="clear" w:color="auto" w:fill="FFFFFF"/>
        <w:ind w:left="256" w:hanging="357"/>
        <w:rPr>
          <w:rFonts w:ascii="Noto Sans" w:hAnsi="Noto Sans" w:cs="Noto Sans"/>
          <w:sz w:val="22"/>
          <w:szCs w:val="22"/>
        </w:rPr>
      </w:pPr>
      <w:r w:rsidRPr="004B68DE">
        <w:rPr>
          <w:rFonts w:ascii="Noto Sans" w:hAnsi="Noto Sans" w:cs="Noto Sans"/>
          <w:sz w:val="22"/>
          <w:szCs w:val="22"/>
        </w:rPr>
        <w:t>1. El Real Decreto 244/2019, de 5 de abril, regula las condiciones administrativas, técnicas y económicas del autoconsumo de energía eléctrica.</w:t>
      </w:r>
    </w:p>
    <w:p w:rsidR="004B68DE" w:rsidRPr="004B68DE" w:rsidRDefault="004B68DE" w:rsidP="004B68DE">
      <w:pPr>
        <w:shd w:val="clear" w:color="auto" w:fill="FFFFFF"/>
        <w:ind w:left="256" w:hanging="357"/>
        <w:rPr>
          <w:rFonts w:ascii="Noto Sans" w:hAnsi="Noto Sans" w:cs="Noto Sans"/>
          <w:sz w:val="22"/>
          <w:szCs w:val="22"/>
        </w:rPr>
      </w:pPr>
    </w:p>
    <w:p w:rsidR="004B68DE" w:rsidRPr="004B68DE" w:rsidRDefault="004B68DE" w:rsidP="004B68DE">
      <w:pPr>
        <w:shd w:val="clear" w:color="auto" w:fill="FFFFFF"/>
        <w:ind w:left="284" w:hanging="284"/>
        <w:rPr>
          <w:rFonts w:ascii="Noto Sans" w:hAnsi="Noto Sans" w:cs="Noto Sans"/>
          <w:sz w:val="22"/>
          <w:szCs w:val="22"/>
        </w:rPr>
      </w:pPr>
      <w:r w:rsidRPr="004B68DE">
        <w:rPr>
          <w:rFonts w:ascii="Noto Sans" w:hAnsi="Noto Sans" w:cs="Noto Sans"/>
          <w:sz w:val="22"/>
          <w:szCs w:val="22"/>
        </w:rPr>
        <w:t xml:space="preserve">2. El artículo 4 del Real Decreto 244/2019 establece las condiciones que se deberán cumplir para la modalidad de autoconsumo con excedentes acogida a compensación. El apartado </w:t>
      </w:r>
      <w:proofErr w:type="spellStart"/>
      <w:r w:rsidRPr="004B68DE">
        <w:rPr>
          <w:rFonts w:ascii="Noto Sans" w:hAnsi="Noto Sans" w:cs="Noto Sans"/>
          <w:sz w:val="22"/>
          <w:szCs w:val="22"/>
        </w:rPr>
        <w:t>iv</w:t>
      </w:r>
      <w:proofErr w:type="spellEnd"/>
      <w:r w:rsidRPr="004B68DE">
        <w:rPr>
          <w:rFonts w:ascii="Noto Sans" w:hAnsi="Noto Sans" w:cs="Noto Sans"/>
          <w:sz w:val="22"/>
          <w:szCs w:val="22"/>
        </w:rPr>
        <w:t xml:space="preserve"> del punto 2.a) de este artículo determina que el consumidor y el productor asociado deberán suscribir un contrato de compensación de excedentes de autoconsumo definido en el artículo 14 del mencionado Real Decreto.</w:t>
      </w:r>
    </w:p>
    <w:p w:rsidR="00C25F35" w:rsidRPr="00E84226" w:rsidRDefault="00C25F35">
      <w:pPr>
        <w:pStyle w:val="Standard"/>
        <w:rPr>
          <w:rFonts w:ascii="Noto Sans" w:hAnsi="Noto Sans" w:cs="Noto Sans"/>
          <w:sz w:val="22"/>
          <w:szCs w:val="22"/>
        </w:rPr>
      </w:pPr>
    </w:p>
    <w:p w:rsidR="004C4041" w:rsidRPr="00E84226" w:rsidRDefault="00C25F35">
      <w:pPr>
        <w:pStyle w:val="Standard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 xml:space="preserve">Ambas partes nos </w:t>
      </w:r>
      <w:r w:rsidR="00A673C4" w:rsidRPr="00E84226">
        <w:rPr>
          <w:rFonts w:ascii="Noto Sans" w:hAnsi="Noto Sans" w:cs="Noto Sans"/>
          <w:sz w:val="22"/>
          <w:szCs w:val="22"/>
        </w:rPr>
        <w:t>reconoce</w:t>
      </w:r>
      <w:r w:rsidR="00E84226">
        <w:rPr>
          <w:rFonts w:ascii="Noto Sans" w:hAnsi="Noto Sans" w:cs="Noto Sans"/>
          <w:sz w:val="22"/>
          <w:szCs w:val="22"/>
        </w:rPr>
        <w:t>mos</w:t>
      </w:r>
      <w:r w:rsidR="00A673C4" w:rsidRPr="00E84226">
        <w:rPr>
          <w:rFonts w:ascii="Noto Sans" w:hAnsi="Noto Sans" w:cs="Noto Sans"/>
          <w:sz w:val="22"/>
          <w:szCs w:val="22"/>
        </w:rPr>
        <w:t xml:space="preserve"> mutuamente </w:t>
      </w:r>
      <w:r w:rsidRPr="00E84226">
        <w:rPr>
          <w:rFonts w:ascii="Noto Sans" w:hAnsi="Noto Sans" w:cs="Noto Sans"/>
          <w:sz w:val="22"/>
          <w:szCs w:val="22"/>
        </w:rPr>
        <w:t xml:space="preserve">la </w:t>
      </w:r>
      <w:r w:rsidR="00A673C4" w:rsidRPr="00E84226">
        <w:rPr>
          <w:rFonts w:ascii="Noto Sans" w:hAnsi="Noto Sans" w:cs="Noto Sans"/>
          <w:sz w:val="22"/>
          <w:szCs w:val="22"/>
        </w:rPr>
        <w:t xml:space="preserve">capacidad legal </w:t>
      </w:r>
      <w:r w:rsidRPr="00E84226">
        <w:rPr>
          <w:rFonts w:ascii="Noto Sans" w:hAnsi="Noto Sans" w:cs="Noto Sans"/>
          <w:sz w:val="22"/>
          <w:szCs w:val="22"/>
        </w:rPr>
        <w:t xml:space="preserve">necesaria </w:t>
      </w:r>
      <w:r w:rsidR="00E84226">
        <w:rPr>
          <w:rFonts w:ascii="Noto Sans" w:hAnsi="Noto Sans" w:cs="Noto Sans"/>
          <w:sz w:val="22"/>
          <w:szCs w:val="22"/>
        </w:rPr>
        <w:t>para celebrar</w:t>
      </w:r>
      <w:r w:rsidRPr="00E84226">
        <w:rPr>
          <w:rFonts w:ascii="Noto Sans" w:hAnsi="Noto Sans" w:cs="Noto Sans"/>
          <w:sz w:val="22"/>
          <w:szCs w:val="22"/>
        </w:rPr>
        <w:t xml:space="preserve"> </w:t>
      </w:r>
      <w:r w:rsidR="00A673C4" w:rsidRPr="00E84226">
        <w:rPr>
          <w:rFonts w:ascii="Noto Sans" w:hAnsi="Noto Sans" w:cs="Noto Sans"/>
          <w:sz w:val="22"/>
          <w:szCs w:val="22"/>
        </w:rPr>
        <w:t xml:space="preserve">este </w:t>
      </w:r>
      <w:r w:rsidRPr="00E84226">
        <w:rPr>
          <w:rFonts w:ascii="Noto Sans" w:hAnsi="Noto Sans" w:cs="Noto Sans"/>
          <w:sz w:val="22"/>
          <w:szCs w:val="22"/>
        </w:rPr>
        <w:t xml:space="preserve">contrato, de acuerdo con las siguientes </w:t>
      </w:r>
    </w:p>
    <w:p w:rsidR="00C25F35" w:rsidRPr="00E84226" w:rsidRDefault="00C25F35">
      <w:pPr>
        <w:pStyle w:val="Standard"/>
        <w:rPr>
          <w:rFonts w:ascii="Noto Sans" w:hAnsi="Noto Sans" w:cs="Noto Sans"/>
          <w:sz w:val="22"/>
          <w:szCs w:val="22"/>
        </w:rPr>
      </w:pPr>
      <w:bookmarkStart w:id="0" w:name="_GoBack"/>
      <w:bookmarkEnd w:id="0"/>
    </w:p>
    <w:p w:rsidR="004C4041" w:rsidRPr="00E84226" w:rsidRDefault="00C25F35">
      <w:pPr>
        <w:pStyle w:val="Standard"/>
        <w:rPr>
          <w:rFonts w:ascii="Noto Sans" w:hAnsi="Noto Sans" w:cs="Noto Sans"/>
          <w:b/>
          <w:sz w:val="22"/>
          <w:szCs w:val="22"/>
        </w:rPr>
      </w:pPr>
      <w:r w:rsidRPr="00E84226">
        <w:rPr>
          <w:rFonts w:ascii="Noto Sans" w:hAnsi="Noto Sans" w:cs="Noto Sans"/>
          <w:b/>
          <w:sz w:val="22"/>
          <w:szCs w:val="22"/>
        </w:rPr>
        <w:t>Cláusulas</w:t>
      </w:r>
    </w:p>
    <w:p w:rsidR="004C4908" w:rsidRPr="00E84226" w:rsidRDefault="004C4908">
      <w:pPr>
        <w:pStyle w:val="Standard"/>
        <w:rPr>
          <w:rFonts w:ascii="Noto Sans" w:hAnsi="Noto Sans" w:cs="Noto Sans"/>
          <w:b/>
          <w:sz w:val="22"/>
          <w:szCs w:val="22"/>
        </w:rPr>
      </w:pPr>
    </w:p>
    <w:p w:rsidR="004C4041" w:rsidRPr="00E84226" w:rsidRDefault="004C4908" w:rsidP="00E8422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 xml:space="preserve">A </w:t>
      </w:r>
      <w:r w:rsidR="00A673C4" w:rsidRPr="00E84226">
        <w:rPr>
          <w:rFonts w:ascii="Noto Sans" w:hAnsi="Noto Sans" w:cs="Noto Sans"/>
          <w:sz w:val="22"/>
          <w:szCs w:val="22"/>
        </w:rPr>
        <w:t xml:space="preserve">partir de la firma de este contrato el </w:t>
      </w:r>
      <w:r w:rsidRPr="00E84226">
        <w:rPr>
          <w:rFonts w:ascii="Noto Sans" w:hAnsi="Noto Sans" w:cs="Noto Sans"/>
          <w:sz w:val="22"/>
          <w:szCs w:val="22"/>
        </w:rPr>
        <w:t>productor</w:t>
      </w:r>
      <w:r w:rsidR="00A673C4" w:rsidRPr="00E84226">
        <w:rPr>
          <w:rFonts w:ascii="Noto Sans" w:hAnsi="Noto Sans" w:cs="Noto Sans"/>
          <w:sz w:val="22"/>
          <w:szCs w:val="22"/>
        </w:rPr>
        <w:t xml:space="preserve"> y el </w:t>
      </w:r>
      <w:r w:rsidRPr="00E84226">
        <w:rPr>
          <w:rFonts w:ascii="Noto Sans" w:hAnsi="Noto Sans" w:cs="Noto Sans"/>
          <w:sz w:val="22"/>
          <w:szCs w:val="22"/>
        </w:rPr>
        <w:t xml:space="preserve">consumidor </w:t>
      </w:r>
      <w:r w:rsidR="007A232D">
        <w:rPr>
          <w:rFonts w:ascii="Noto Sans" w:hAnsi="Noto Sans" w:cs="Noto Sans"/>
          <w:sz w:val="22"/>
          <w:szCs w:val="22"/>
        </w:rPr>
        <w:t>acordarán</w:t>
      </w:r>
      <w:r w:rsidR="00A673C4" w:rsidRPr="00E84226">
        <w:rPr>
          <w:rFonts w:ascii="Noto Sans" w:hAnsi="Noto Sans" w:cs="Noto Sans"/>
          <w:sz w:val="22"/>
          <w:szCs w:val="22"/>
        </w:rPr>
        <w:t xml:space="preserve"> un mecanismo de compensación simplificada entre </w:t>
      </w:r>
      <w:r w:rsidR="009E3FD1" w:rsidRPr="00E84226">
        <w:rPr>
          <w:rFonts w:ascii="Noto Sans" w:hAnsi="Noto Sans" w:cs="Noto Sans"/>
          <w:sz w:val="22"/>
          <w:szCs w:val="22"/>
        </w:rPr>
        <w:t>los</w:t>
      </w:r>
      <w:r w:rsidR="00A673C4" w:rsidRPr="00E84226">
        <w:rPr>
          <w:rFonts w:ascii="Noto Sans" w:hAnsi="Noto Sans" w:cs="Noto Sans"/>
          <w:sz w:val="22"/>
          <w:szCs w:val="22"/>
        </w:rPr>
        <w:t xml:space="preserve"> déficits del consumo del </w:t>
      </w:r>
      <w:r w:rsidRPr="00E84226">
        <w:rPr>
          <w:rFonts w:ascii="Noto Sans" w:hAnsi="Noto Sans" w:cs="Noto Sans"/>
          <w:sz w:val="22"/>
          <w:szCs w:val="22"/>
        </w:rPr>
        <w:t xml:space="preserve">consumidor </w:t>
      </w:r>
      <w:r w:rsidR="00A673C4" w:rsidRPr="00E84226">
        <w:rPr>
          <w:rFonts w:ascii="Noto Sans" w:hAnsi="Noto Sans" w:cs="Noto Sans"/>
          <w:sz w:val="22"/>
          <w:szCs w:val="22"/>
        </w:rPr>
        <w:t xml:space="preserve">y la totalidad de los excedentes de la instalación del </w:t>
      </w:r>
      <w:r w:rsidRPr="00E84226">
        <w:rPr>
          <w:rFonts w:ascii="Noto Sans" w:hAnsi="Noto Sans" w:cs="Noto Sans"/>
          <w:sz w:val="22"/>
          <w:szCs w:val="22"/>
        </w:rPr>
        <w:t xml:space="preserve">productor tal </w:t>
      </w:r>
      <w:r w:rsidR="00A673C4" w:rsidRPr="00E84226">
        <w:rPr>
          <w:rFonts w:ascii="Noto Sans" w:hAnsi="Noto Sans" w:cs="Noto Sans"/>
          <w:sz w:val="22"/>
          <w:szCs w:val="22"/>
        </w:rPr>
        <w:t xml:space="preserve">como </w:t>
      </w:r>
      <w:r w:rsidR="005130D0" w:rsidRPr="00E84226">
        <w:rPr>
          <w:rFonts w:ascii="Noto Sans" w:hAnsi="Noto Sans" w:cs="Noto Sans"/>
          <w:sz w:val="22"/>
          <w:szCs w:val="22"/>
        </w:rPr>
        <w:t>establece</w:t>
      </w:r>
      <w:r w:rsidR="00A673C4" w:rsidRPr="00E84226">
        <w:rPr>
          <w:rFonts w:ascii="Noto Sans" w:hAnsi="Noto Sans" w:cs="Noto Sans"/>
          <w:sz w:val="22"/>
          <w:szCs w:val="22"/>
        </w:rPr>
        <w:t xml:space="preserve"> el </w:t>
      </w:r>
      <w:r w:rsidR="00C1785F" w:rsidRPr="00E84226">
        <w:rPr>
          <w:rFonts w:ascii="Noto Sans" w:hAnsi="Noto Sans" w:cs="Noto Sans"/>
          <w:sz w:val="22"/>
          <w:szCs w:val="22"/>
        </w:rPr>
        <w:t>Re</w:t>
      </w:r>
      <w:r w:rsidR="005130D0" w:rsidRPr="00E84226">
        <w:rPr>
          <w:rFonts w:ascii="Noto Sans" w:hAnsi="Noto Sans" w:cs="Noto Sans"/>
          <w:sz w:val="22"/>
          <w:szCs w:val="22"/>
        </w:rPr>
        <w:t>a</w:t>
      </w:r>
      <w:r w:rsidR="00C1785F" w:rsidRPr="00E84226">
        <w:rPr>
          <w:rFonts w:ascii="Noto Sans" w:hAnsi="Noto Sans" w:cs="Noto Sans"/>
          <w:sz w:val="22"/>
          <w:szCs w:val="22"/>
        </w:rPr>
        <w:t xml:space="preserve">l </w:t>
      </w:r>
      <w:r w:rsidR="0010572C" w:rsidRPr="00E84226">
        <w:rPr>
          <w:rFonts w:ascii="Noto Sans" w:hAnsi="Noto Sans" w:cs="Noto Sans"/>
          <w:sz w:val="22"/>
          <w:szCs w:val="22"/>
        </w:rPr>
        <w:t>D</w:t>
      </w:r>
      <w:r w:rsidR="00C1785F" w:rsidRPr="00E84226">
        <w:rPr>
          <w:rFonts w:ascii="Noto Sans" w:hAnsi="Noto Sans" w:cs="Noto Sans"/>
          <w:sz w:val="22"/>
          <w:szCs w:val="22"/>
        </w:rPr>
        <w:t xml:space="preserve">ecreto 244/2019, de 5 de abril, </w:t>
      </w:r>
      <w:r w:rsidRPr="00E84226">
        <w:rPr>
          <w:rFonts w:ascii="Noto Sans" w:hAnsi="Noto Sans" w:cs="Noto Sans"/>
          <w:sz w:val="22"/>
          <w:szCs w:val="22"/>
        </w:rPr>
        <w:t>por el</w:t>
      </w:r>
      <w:r w:rsidR="00C1785F" w:rsidRPr="00E84226">
        <w:rPr>
          <w:rFonts w:ascii="Noto Sans" w:hAnsi="Noto Sans" w:cs="Noto Sans"/>
          <w:sz w:val="22"/>
          <w:szCs w:val="22"/>
        </w:rPr>
        <w:t xml:space="preserve"> </w:t>
      </w:r>
      <w:r w:rsidR="0010572C" w:rsidRPr="00E84226">
        <w:rPr>
          <w:rFonts w:ascii="Noto Sans" w:hAnsi="Noto Sans" w:cs="Noto Sans"/>
          <w:sz w:val="22"/>
          <w:szCs w:val="22"/>
        </w:rPr>
        <w:t>que</w:t>
      </w:r>
      <w:r w:rsidR="00C1785F" w:rsidRPr="00E84226">
        <w:rPr>
          <w:rFonts w:ascii="Noto Sans" w:hAnsi="Noto Sans" w:cs="Noto Sans"/>
          <w:sz w:val="22"/>
          <w:szCs w:val="22"/>
        </w:rPr>
        <w:t xml:space="preserve"> se regulan las condiciones administrativas, técnicas y económicas del autoconsumo de energía eléctrica</w:t>
      </w:r>
      <w:r w:rsidR="00A673C4" w:rsidRPr="00E84226">
        <w:rPr>
          <w:rFonts w:ascii="Noto Sans" w:hAnsi="Noto Sans" w:cs="Noto Sans"/>
          <w:sz w:val="22"/>
          <w:szCs w:val="22"/>
        </w:rPr>
        <w:t>.</w:t>
      </w:r>
    </w:p>
    <w:p w:rsidR="004C4908" w:rsidRPr="00E84226" w:rsidRDefault="004C4908" w:rsidP="004C4908">
      <w:pPr>
        <w:pStyle w:val="Standard"/>
        <w:tabs>
          <w:tab w:val="left" w:pos="284"/>
        </w:tabs>
        <w:ind w:left="426"/>
        <w:rPr>
          <w:rFonts w:ascii="Noto Sans" w:hAnsi="Noto Sans" w:cs="Noto Sans"/>
          <w:sz w:val="22"/>
          <w:szCs w:val="22"/>
        </w:rPr>
      </w:pPr>
    </w:p>
    <w:p w:rsidR="004C4041" w:rsidRPr="00E84226" w:rsidRDefault="004C4908" w:rsidP="00E8422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 xml:space="preserve">El </w:t>
      </w:r>
      <w:r w:rsidR="00A673C4" w:rsidRPr="00E84226">
        <w:rPr>
          <w:rFonts w:ascii="Noto Sans" w:hAnsi="Noto Sans" w:cs="Noto Sans"/>
          <w:sz w:val="22"/>
          <w:szCs w:val="22"/>
        </w:rPr>
        <w:t>consumidor enviar</w:t>
      </w:r>
      <w:r w:rsidR="0010572C" w:rsidRPr="00E84226">
        <w:rPr>
          <w:rFonts w:ascii="Noto Sans" w:hAnsi="Noto Sans" w:cs="Noto Sans"/>
          <w:sz w:val="22"/>
          <w:szCs w:val="22"/>
        </w:rPr>
        <w:t>á</w:t>
      </w:r>
      <w:r w:rsidR="00A673C4" w:rsidRPr="00E84226">
        <w:rPr>
          <w:rFonts w:ascii="Noto Sans" w:hAnsi="Noto Sans" w:cs="Noto Sans"/>
          <w:sz w:val="22"/>
          <w:szCs w:val="22"/>
        </w:rPr>
        <w:t xml:space="preserve"> directamente a la empresa distribuidora, o a través de </w:t>
      </w:r>
      <w:r w:rsidR="0010572C" w:rsidRPr="00E84226">
        <w:rPr>
          <w:rFonts w:ascii="Noto Sans" w:hAnsi="Noto Sans" w:cs="Noto Sans"/>
          <w:sz w:val="22"/>
          <w:szCs w:val="22"/>
        </w:rPr>
        <w:t>su</w:t>
      </w:r>
      <w:r w:rsidR="00A673C4" w:rsidRPr="00E84226">
        <w:rPr>
          <w:rFonts w:ascii="Noto Sans" w:hAnsi="Noto Sans" w:cs="Noto Sans"/>
          <w:sz w:val="22"/>
          <w:szCs w:val="22"/>
        </w:rPr>
        <w:t xml:space="preserve"> comercializadora, este contrato</w:t>
      </w:r>
      <w:r w:rsidRPr="00E84226">
        <w:rPr>
          <w:rFonts w:ascii="Noto Sans" w:hAnsi="Noto Sans" w:cs="Noto Sans"/>
          <w:sz w:val="22"/>
          <w:szCs w:val="22"/>
        </w:rPr>
        <w:t xml:space="preserve"> de compensación de los excedentes y solicitar</w:t>
      </w:r>
      <w:r w:rsidR="0010572C" w:rsidRPr="00E84226">
        <w:rPr>
          <w:rFonts w:ascii="Noto Sans" w:hAnsi="Noto Sans" w:cs="Noto Sans"/>
          <w:sz w:val="22"/>
          <w:szCs w:val="22"/>
        </w:rPr>
        <w:t>á</w:t>
      </w:r>
      <w:r w:rsidRPr="00E84226">
        <w:rPr>
          <w:rFonts w:ascii="Noto Sans" w:hAnsi="Noto Sans" w:cs="Noto Sans"/>
          <w:sz w:val="22"/>
          <w:szCs w:val="22"/>
        </w:rPr>
        <w:t xml:space="preserve"> </w:t>
      </w:r>
      <w:r w:rsidR="0010572C" w:rsidRPr="00E84226">
        <w:rPr>
          <w:rFonts w:ascii="Noto Sans" w:hAnsi="Noto Sans" w:cs="Noto Sans"/>
          <w:sz w:val="22"/>
          <w:szCs w:val="22"/>
        </w:rPr>
        <w:t>su</w:t>
      </w:r>
      <w:r w:rsidRPr="00E84226">
        <w:rPr>
          <w:rFonts w:ascii="Noto Sans" w:hAnsi="Noto Sans" w:cs="Noto Sans"/>
          <w:sz w:val="22"/>
          <w:szCs w:val="22"/>
        </w:rPr>
        <w:t xml:space="preserve"> a</w:t>
      </w:r>
      <w:r w:rsidR="00A673C4" w:rsidRPr="00E84226">
        <w:rPr>
          <w:rFonts w:ascii="Noto Sans" w:hAnsi="Noto Sans" w:cs="Noto Sans"/>
          <w:sz w:val="22"/>
          <w:szCs w:val="22"/>
        </w:rPr>
        <w:t>plicación.</w:t>
      </w:r>
    </w:p>
    <w:p w:rsidR="004C4908" w:rsidRPr="00E84226" w:rsidRDefault="004C4908" w:rsidP="004C4908">
      <w:pPr>
        <w:pStyle w:val="Prrafodelista"/>
        <w:rPr>
          <w:rFonts w:ascii="Noto Sans" w:hAnsi="Noto Sans" w:cs="Noto Sans"/>
          <w:sz w:val="22"/>
          <w:szCs w:val="22"/>
        </w:rPr>
      </w:pPr>
    </w:p>
    <w:p w:rsidR="004C4041" w:rsidRPr="00E84226" w:rsidRDefault="00A673C4" w:rsidP="0010572C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 xml:space="preserve">La energía excedentaria </w:t>
      </w:r>
      <w:r w:rsidR="004C4908" w:rsidRPr="00E84226">
        <w:rPr>
          <w:rFonts w:ascii="Noto Sans" w:hAnsi="Noto Sans" w:cs="Noto Sans"/>
          <w:sz w:val="22"/>
          <w:szCs w:val="22"/>
        </w:rPr>
        <w:t>se valorar</w:t>
      </w:r>
      <w:r w:rsidR="0010572C" w:rsidRPr="00E84226">
        <w:rPr>
          <w:rFonts w:ascii="Noto Sans" w:hAnsi="Noto Sans" w:cs="Noto Sans"/>
          <w:sz w:val="22"/>
          <w:szCs w:val="22"/>
        </w:rPr>
        <w:t>á</w:t>
      </w:r>
      <w:r w:rsidRPr="00E84226">
        <w:rPr>
          <w:rFonts w:ascii="Noto Sans" w:hAnsi="Noto Sans" w:cs="Noto Sans"/>
          <w:sz w:val="22"/>
          <w:szCs w:val="22"/>
        </w:rPr>
        <w:t xml:space="preserve"> de acuerdo con </w:t>
      </w:r>
      <w:r w:rsidR="0010572C" w:rsidRPr="00E84226">
        <w:rPr>
          <w:rFonts w:ascii="Noto Sans" w:hAnsi="Noto Sans" w:cs="Noto Sans"/>
          <w:sz w:val="22"/>
          <w:szCs w:val="22"/>
        </w:rPr>
        <w:t>lo</w:t>
      </w:r>
      <w:r w:rsidRPr="00E84226">
        <w:rPr>
          <w:rFonts w:ascii="Noto Sans" w:hAnsi="Noto Sans" w:cs="Noto Sans"/>
          <w:sz w:val="22"/>
          <w:szCs w:val="22"/>
        </w:rPr>
        <w:t xml:space="preserve"> establecido </w:t>
      </w:r>
      <w:r w:rsidR="0010572C" w:rsidRPr="00E84226">
        <w:rPr>
          <w:rFonts w:ascii="Noto Sans" w:hAnsi="Noto Sans" w:cs="Noto Sans"/>
          <w:sz w:val="22"/>
          <w:szCs w:val="22"/>
        </w:rPr>
        <w:t>en</w:t>
      </w:r>
      <w:r w:rsidRPr="00E84226">
        <w:rPr>
          <w:rFonts w:ascii="Noto Sans" w:hAnsi="Noto Sans" w:cs="Noto Sans"/>
          <w:sz w:val="22"/>
          <w:szCs w:val="22"/>
        </w:rPr>
        <w:t xml:space="preserve"> la normativa </w:t>
      </w:r>
      <w:r w:rsidR="007A232D">
        <w:rPr>
          <w:rFonts w:ascii="Noto Sans" w:hAnsi="Noto Sans" w:cs="Noto Sans"/>
          <w:sz w:val="22"/>
          <w:szCs w:val="22"/>
        </w:rPr>
        <w:t>de aplicación</w:t>
      </w:r>
      <w:r w:rsidRPr="00E84226">
        <w:rPr>
          <w:rFonts w:ascii="Noto Sans" w:hAnsi="Noto Sans" w:cs="Noto Sans"/>
          <w:sz w:val="22"/>
          <w:szCs w:val="22"/>
        </w:rPr>
        <w:t>.</w:t>
      </w:r>
    </w:p>
    <w:p w:rsidR="004C4908" w:rsidRPr="00E84226" w:rsidRDefault="004C4908" w:rsidP="004C4908">
      <w:pPr>
        <w:pStyle w:val="Prrafodelista"/>
        <w:rPr>
          <w:rFonts w:ascii="Noto Sans" w:hAnsi="Noto Sans" w:cs="Noto Sans"/>
          <w:sz w:val="22"/>
          <w:szCs w:val="22"/>
        </w:rPr>
      </w:pPr>
    </w:p>
    <w:p w:rsidR="004C4041" w:rsidRPr="00E84226" w:rsidRDefault="00A673C4" w:rsidP="00E8422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>La energía hora</w:t>
      </w:r>
      <w:r w:rsidR="004C4908" w:rsidRPr="00E84226">
        <w:rPr>
          <w:rFonts w:ascii="Noto Sans" w:hAnsi="Noto Sans" w:cs="Noto Sans"/>
          <w:sz w:val="22"/>
          <w:szCs w:val="22"/>
        </w:rPr>
        <w:t>ria excedentaria del consumidor</w:t>
      </w:r>
      <w:r w:rsidRPr="00E84226">
        <w:rPr>
          <w:rFonts w:ascii="Noto Sans" w:hAnsi="Noto Sans" w:cs="Noto Sans"/>
          <w:sz w:val="22"/>
          <w:szCs w:val="22"/>
        </w:rPr>
        <w:t xml:space="preserve"> no </w:t>
      </w:r>
      <w:r w:rsidR="0010572C" w:rsidRPr="00E84226">
        <w:rPr>
          <w:rFonts w:ascii="Noto Sans" w:hAnsi="Noto Sans" w:cs="Noto Sans"/>
          <w:sz w:val="22"/>
          <w:szCs w:val="22"/>
        </w:rPr>
        <w:t>tendrá</w:t>
      </w:r>
      <w:r w:rsidRPr="00E84226">
        <w:rPr>
          <w:rFonts w:ascii="Noto Sans" w:hAnsi="Noto Sans" w:cs="Noto Sans"/>
          <w:sz w:val="22"/>
          <w:szCs w:val="22"/>
        </w:rPr>
        <w:t xml:space="preserve"> consideración de energía incorporada al sistema eléctrico de energía eléctrica y, en consecuencia, est</w:t>
      </w:r>
      <w:r w:rsidR="0010572C" w:rsidRPr="00E84226">
        <w:rPr>
          <w:rFonts w:ascii="Noto Sans" w:hAnsi="Noto Sans" w:cs="Noto Sans"/>
          <w:sz w:val="22"/>
          <w:szCs w:val="22"/>
        </w:rPr>
        <w:t>ará</w:t>
      </w:r>
      <w:r w:rsidRPr="00E84226">
        <w:rPr>
          <w:rFonts w:ascii="Noto Sans" w:hAnsi="Noto Sans" w:cs="Noto Sans"/>
          <w:sz w:val="22"/>
          <w:szCs w:val="22"/>
        </w:rPr>
        <w:t xml:space="preserve"> exenta de </w:t>
      </w:r>
      <w:r w:rsidR="00C1785F" w:rsidRPr="00E84226">
        <w:rPr>
          <w:rFonts w:ascii="Noto Sans" w:hAnsi="Noto Sans" w:cs="Noto Sans"/>
          <w:sz w:val="22"/>
          <w:szCs w:val="22"/>
        </w:rPr>
        <w:t>satisfacer</w:t>
      </w:r>
      <w:r w:rsidRPr="00E84226">
        <w:rPr>
          <w:rFonts w:ascii="Noto Sans" w:hAnsi="Noto Sans" w:cs="Noto Sans"/>
          <w:sz w:val="22"/>
          <w:szCs w:val="22"/>
        </w:rPr>
        <w:t xml:space="preserve"> los peajes establecidos en el Real </w:t>
      </w:r>
      <w:r w:rsidR="0010572C" w:rsidRPr="00E84226">
        <w:rPr>
          <w:rFonts w:ascii="Noto Sans" w:hAnsi="Noto Sans" w:cs="Noto Sans"/>
          <w:sz w:val="22"/>
          <w:szCs w:val="22"/>
        </w:rPr>
        <w:t>D</w:t>
      </w:r>
      <w:r w:rsidRPr="00E84226">
        <w:rPr>
          <w:rFonts w:ascii="Noto Sans" w:hAnsi="Noto Sans" w:cs="Noto Sans"/>
          <w:sz w:val="22"/>
          <w:szCs w:val="22"/>
        </w:rPr>
        <w:t>ecreto 1544/2011</w:t>
      </w:r>
      <w:r w:rsidR="00C1785F" w:rsidRPr="00E84226">
        <w:rPr>
          <w:rFonts w:ascii="Noto Sans" w:hAnsi="Noto Sans" w:cs="Noto Sans"/>
          <w:sz w:val="22"/>
          <w:szCs w:val="22"/>
        </w:rPr>
        <w:t xml:space="preserve">, de 31 de octubre, </w:t>
      </w:r>
      <w:r w:rsidR="0010572C" w:rsidRPr="00E84226">
        <w:rPr>
          <w:rFonts w:ascii="Noto Sans" w:hAnsi="Noto Sans" w:cs="Noto Sans"/>
          <w:sz w:val="22"/>
          <w:szCs w:val="22"/>
        </w:rPr>
        <w:t>por el que</w:t>
      </w:r>
      <w:r w:rsidR="00C1785F" w:rsidRPr="00E84226">
        <w:rPr>
          <w:rFonts w:ascii="Noto Sans" w:hAnsi="Noto Sans" w:cs="Noto Sans"/>
          <w:sz w:val="22"/>
          <w:szCs w:val="22"/>
        </w:rPr>
        <w:t xml:space="preserve"> se establecen los peajes de acceso a las redes de transporte y distribución</w:t>
      </w:r>
      <w:r w:rsidR="004C4908" w:rsidRPr="00E84226">
        <w:rPr>
          <w:rFonts w:ascii="Noto Sans" w:hAnsi="Noto Sans" w:cs="Noto Sans"/>
          <w:sz w:val="22"/>
          <w:szCs w:val="22"/>
        </w:rPr>
        <w:t xml:space="preserve"> que </w:t>
      </w:r>
      <w:r w:rsidR="0010572C" w:rsidRPr="00E84226">
        <w:rPr>
          <w:rFonts w:ascii="Noto Sans" w:hAnsi="Noto Sans" w:cs="Noto Sans"/>
          <w:sz w:val="22"/>
          <w:szCs w:val="22"/>
        </w:rPr>
        <w:t>deben</w:t>
      </w:r>
      <w:r w:rsidR="004C4908" w:rsidRPr="00E84226">
        <w:rPr>
          <w:rFonts w:ascii="Noto Sans" w:hAnsi="Noto Sans" w:cs="Noto Sans"/>
          <w:sz w:val="22"/>
          <w:szCs w:val="22"/>
        </w:rPr>
        <w:t xml:space="preserve"> satisfacer los productores de energía eléctrica</w:t>
      </w:r>
      <w:r w:rsidR="00C1785F" w:rsidRPr="00E84226">
        <w:rPr>
          <w:rFonts w:ascii="Noto Sans" w:hAnsi="Noto Sans" w:cs="Noto Sans"/>
          <w:sz w:val="22"/>
          <w:szCs w:val="22"/>
        </w:rPr>
        <w:t>.</w:t>
      </w:r>
    </w:p>
    <w:p w:rsidR="004C4908" w:rsidRPr="00E84226" w:rsidRDefault="004C4908" w:rsidP="004C4908">
      <w:pPr>
        <w:pStyle w:val="Prrafodelista"/>
        <w:rPr>
          <w:rFonts w:ascii="Noto Sans" w:hAnsi="Noto Sans" w:cs="Noto Sans"/>
          <w:sz w:val="22"/>
          <w:szCs w:val="22"/>
        </w:rPr>
      </w:pPr>
    </w:p>
    <w:p w:rsidR="004C4041" w:rsidRPr="00E84226" w:rsidRDefault="004C4908" w:rsidP="00E8422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lastRenderedPageBreak/>
        <w:t xml:space="preserve">La duración </w:t>
      </w:r>
      <w:r w:rsidR="00A673C4" w:rsidRPr="00E84226">
        <w:rPr>
          <w:rFonts w:ascii="Noto Sans" w:hAnsi="Noto Sans" w:cs="Noto Sans"/>
          <w:sz w:val="22"/>
          <w:szCs w:val="22"/>
        </w:rPr>
        <w:t xml:space="preserve">mínima de este contrato </w:t>
      </w:r>
      <w:r w:rsidR="0010572C" w:rsidRPr="00E84226">
        <w:rPr>
          <w:rFonts w:ascii="Noto Sans" w:hAnsi="Noto Sans" w:cs="Noto Sans"/>
          <w:sz w:val="22"/>
          <w:szCs w:val="22"/>
        </w:rPr>
        <w:t>será</w:t>
      </w:r>
      <w:r w:rsidR="00A673C4" w:rsidRPr="00E84226">
        <w:rPr>
          <w:rFonts w:ascii="Noto Sans" w:hAnsi="Noto Sans" w:cs="Noto Sans"/>
          <w:sz w:val="22"/>
          <w:szCs w:val="22"/>
        </w:rPr>
        <w:t xml:space="preserve"> de un año a partir de </w:t>
      </w:r>
      <w:r w:rsidR="0010572C" w:rsidRPr="00E84226">
        <w:rPr>
          <w:rFonts w:ascii="Noto Sans" w:hAnsi="Noto Sans" w:cs="Noto Sans"/>
          <w:sz w:val="22"/>
          <w:szCs w:val="22"/>
        </w:rPr>
        <w:t>su</w:t>
      </w:r>
      <w:r w:rsidR="00A673C4" w:rsidRPr="00E84226">
        <w:rPr>
          <w:rFonts w:ascii="Noto Sans" w:hAnsi="Noto Sans" w:cs="Noto Sans"/>
          <w:sz w:val="22"/>
          <w:szCs w:val="22"/>
        </w:rPr>
        <w:t xml:space="preserve"> firma, prorrogable anualmente</w:t>
      </w:r>
      <w:r w:rsidR="00A84F94" w:rsidRPr="00E84226">
        <w:rPr>
          <w:rFonts w:ascii="Noto Sans" w:hAnsi="Noto Sans" w:cs="Noto Sans"/>
          <w:sz w:val="22"/>
          <w:szCs w:val="22"/>
        </w:rPr>
        <w:t xml:space="preserve"> de forma automática</w:t>
      </w:r>
      <w:r w:rsidR="00A673C4" w:rsidRPr="00E84226">
        <w:rPr>
          <w:rFonts w:ascii="Noto Sans" w:hAnsi="Noto Sans" w:cs="Noto Sans"/>
          <w:sz w:val="22"/>
          <w:szCs w:val="22"/>
        </w:rPr>
        <w:t xml:space="preserve">. Si </w:t>
      </w:r>
      <w:r w:rsidRPr="00E84226">
        <w:rPr>
          <w:rFonts w:ascii="Noto Sans" w:hAnsi="Noto Sans" w:cs="Noto Sans"/>
          <w:sz w:val="22"/>
          <w:szCs w:val="22"/>
        </w:rPr>
        <w:t>alguna</w:t>
      </w:r>
      <w:r w:rsidR="00A673C4" w:rsidRPr="00E84226">
        <w:rPr>
          <w:rFonts w:ascii="Noto Sans" w:hAnsi="Noto Sans" w:cs="Noto Sans"/>
          <w:sz w:val="22"/>
          <w:szCs w:val="22"/>
        </w:rPr>
        <w:t xml:space="preserve"> de las partes decid</w:t>
      </w:r>
      <w:r w:rsidR="0010572C" w:rsidRPr="00E84226">
        <w:rPr>
          <w:rFonts w:ascii="Noto Sans" w:hAnsi="Noto Sans" w:cs="Noto Sans"/>
          <w:sz w:val="22"/>
          <w:szCs w:val="22"/>
        </w:rPr>
        <w:t xml:space="preserve">iera </w:t>
      </w:r>
      <w:r w:rsidR="00A673C4" w:rsidRPr="00E84226">
        <w:rPr>
          <w:rFonts w:ascii="Noto Sans" w:hAnsi="Noto Sans" w:cs="Noto Sans"/>
          <w:sz w:val="22"/>
          <w:szCs w:val="22"/>
        </w:rPr>
        <w:t>r</w:t>
      </w:r>
      <w:r w:rsidRPr="00E84226">
        <w:rPr>
          <w:rFonts w:ascii="Noto Sans" w:hAnsi="Noto Sans" w:cs="Noto Sans"/>
          <w:sz w:val="22"/>
          <w:szCs w:val="22"/>
        </w:rPr>
        <w:t xml:space="preserve">esolver el contrato </w:t>
      </w:r>
      <w:r w:rsidR="0010572C" w:rsidRPr="00E84226">
        <w:rPr>
          <w:rFonts w:ascii="Noto Sans" w:hAnsi="Noto Sans" w:cs="Noto Sans"/>
          <w:sz w:val="22"/>
          <w:szCs w:val="22"/>
        </w:rPr>
        <w:t>deberá</w:t>
      </w:r>
      <w:r w:rsidR="00A673C4" w:rsidRPr="00E84226">
        <w:rPr>
          <w:rFonts w:ascii="Noto Sans" w:hAnsi="Noto Sans" w:cs="Noto Sans"/>
          <w:sz w:val="22"/>
          <w:szCs w:val="22"/>
        </w:rPr>
        <w:t xml:space="preserve"> manifestar </w:t>
      </w:r>
      <w:r w:rsidRPr="00E84226">
        <w:rPr>
          <w:rFonts w:ascii="Noto Sans" w:hAnsi="Noto Sans" w:cs="Noto Sans"/>
          <w:sz w:val="22"/>
          <w:szCs w:val="22"/>
        </w:rPr>
        <w:t>esta</w:t>
      </w:r>
      <w:r w:rsidR="00A673C4" w:rsidRPr="00E84226">
        <w:rPr>
          <w:rFonts w:ascii="Noto Sans" w:hAnsi="Noto Sans" w:cs="Noto Sans"/>
          <w:sz w:val="22"/>
          <w:szCs w:val="22"/>
        </w:rPr>
        <w:t xml:space="preserve"> </w:t>
      </w:r>
      <w:r w:rsidR="0010572C" w:rsidRPr="00E84226">
        <w:rPr>
          <w:rFonts w:ascii="Noto Sans" w:hAnsi="Noto Sans" w:cs="Noto Sans"/>
          <w:sz w:val="22"/>
          <w:szCs w:val="22"/>
        </w:rPr>
        <w:t>pretensión por escrito y con un</w:t>
      </w:r>
      <w:r w:rsidR="00A673C4" w:rsidRPr="00E84226">
        <w:rPr>
          <w:rFonts w:ascii="Noto Sans" w:hAnsi="Noto Sans" w:cs="Noto Sans"/>
          <w:sz w:val="22"/>
          <w:szCs w:val="22"/>
        </w:rPr>
        <w:t xml:space="preserve"> mínimo de un mes de antelación a la fecha del </w:t>
      </w:r>
      <w:r w:rsidRPr="00E84226">
        <w:rPr>
          <w:rFonts w:ascii="Noto Sans" w:hAnsi="Noto Sans" w:cs="Noto Sans"/>
          <w:sz w:val="22"/>
          <w:szCs w:val="22"/>
        </w:rPr>
        <w:t>vencimiento o de cualq</w:t>
      </w:r>
      <w:r w:rsidR="00A673C4" w:rsidRPr="00E84226">
        <w:rPr>
          <w:rFonts w:ascii="Noto Sans" w:hAnsi="Noto Sans" w:cs="Noto Sans"/>
          <w:sz w:val="22"/>
          <w:szCs w:val="22"/>
        </w:rPr>
        <w:t>uiera de sus prórrogas.</w:t>
      </w:r>
    </w:p>
    <w:p w:rsidR="004C4908" w:rsidRPr="00E84226" w:rsidRDefault="004C4908" w:rsidP="004C4908">
      <w:pPr>
        <w:pStyle w:val="Prrafodelista"/>
        <w:rPr>
          <w:rFonts w:ascii="Noto Sans" w:hAnsi="Noto Sans" w:cs="Noto Sans"/>
          <w:sz w:val="22"/>
          <w:szCs w:val="22"/>
        </w:rPr>
      </w:pPr>
    </w:p>
    <w:p w:rsidR="004C4041" w:rsidRPr="00E84226" w:rsidRDefault="00950009" w:rsidP="0095000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>Se e</w:t>
      </w:r>
      <w:r w:rsidR="00A673C4" w:rsidRPr="00E84226">
        <w:rPr>
          <w:rFonts w:ascii="Noto Sans" w:hAnsi="Noto Sans" w:cs="Noto Sans"/>
          <w:sz w:val="22"/>
          <w:szCs w:val="22"/>
        </w:rPr>
        <w:t>stablece</w:t>
      </w:r>
      <w:r w:rsidR="00E84226" w:rsidRPr="00E84226">
        <w:rPr>
          <w:rFonts w:ascii="Noto Sans" w:hAnsi="Noto Sans" w:cs="Noto Sans"/>
          <w:sz w:val="22"/>
          <w:szCs w:val="22"/>
        </w:rPr>
        <w:t>rá</w:t>
      </w:r>
      <w:r w:rsidR="00A673C4" w:rsidRPr="00E84226">
        <w:rPr>
          <w:rFonts w:ascii="Noto Sans" w:hAnsi="Noto Sans" w:cs="Noto Sans"/>
          <w:sz w:val="22"/>
          <w:szCs w:val="22"/>
        </w:rPr>
        <w:t>n como causas de resolución:</w:t>
      </w:r>
    </w:p>
    <w:p w:rsidR="00950009" w:rsidRPr="00E84226" w:rsidRDefault="00950009" w:rsidP="00950009">
      <w:pPr>
        <w:pStyle w:val="Prrafodelista"/>
        <w:rPr>
          <w:rFonts w:ascii="Noto Sans" w:hAnsi="Noto Sans" w:cs="Noto Sans"/>
          <w:sz w:val="22"/>
          <w:szCs w:val="22"/>
        </w:rPr>
      </w:pPr>
    </w:p>
    <w:p w:rsidR="004C4041" w:rsidRPr="00E84226" w:rsidRDefault="00A673C4" w:rsidP="00950009">
      <w:pPr>
        <w:pStyle w:val="Standard"/>
        <w:numPr>
          <w:ilvl w:val="0"/>
          <w:numId w:val="4"/>
        </w:numPr>
        <w:tabs>
          <w:tab w:val="left" w:pos="284"/>
        </w:tabs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 xml:space="preserve">El incumplimiento de las condiciones establecidas en la normativa vigente </w:t>
      </w:r>
      <w:r w:rsidR="00E84226">
        <w:rPr>
          <w:rFonts w:ascii="Noto Sans" w:hAnsi="Noto Sans" w:cs="Noto Sans"/>
          <w:sz w:val="22"/>
          <w:szCs w:val="22"/>
        </w:rPr>
        <w:t>en</w:t>
      </w:r>
      <w:r w:rsidRPr="00E84226">
        <w:rPr>
          <w:rFonts w:ascii="Noto Sans" w:hAnsi="Noto Sans" w:cs="Noto Sans"/>
          <w:sz w:val="22"/>
          <w:szCs w:val="22"/>
        </w:rPr>
        <w:t xml:space="preserve"> relación </w:t>
      </w:r>
      <w:bookmarkStart w:id="1" w:name="_Hlk7506999"/>
      <w:r w:rsidR="00E84226">
        <w:rPr>
          <w:rFonts w:ascii="Noto Sans" w:hAnsi="Noto Sans" w:cs="Noto Sans"/>
          <w:sz w:val="22"/>
          <w:szCs w:val="22"/>
        </w:rPr>
        <w:t>con el</w:t>
      </w:r>
      <w:r w:rsidRPr="00E84226">
        <w:rPr>
          <w:rFonts w:ascii="Noto Sans" w:hAnsi="Noto Sans" w:cs="Noto Sans"/>
          <w:sz w:val="22"/>
          <w:szCs w:val="22"/>
        </w:rPr>
        <w:t xml:space="preserve"> Real </w:t>
      </w:r>
      <w:r w:rsidR="00E84226" w:rsidRPr="00E84226">
        <w:rPr>
          <w:rFonts w:ascii="Noto Sans" w:hAnsi="Noto Sans" w:cs="Noto Sans"/>
          <w:sz w:val="22"/>
          <w:szCs w:val="22"/>
        </w:rPr>
        <w:t>D</w:t>
      </w:r>
      <w:r w:rsidRPr="00E84226">
        <w:rPr>
          <w:rFonts w:ascii="Noto Sans" w:hAnsi="Noto Sans" w:cs="Noto Sans"/>
          <w:sz w:val="22"/>
          <w:szCs w:val="22"/>
        </w:rPr>
        <w:t>ecreto 244/2019, de 5 de abril</w:t>
      </w:r>
      <w:bookmarkEnd w:id="1"/>
      <w:r w:rsidR="009863D5" w:rsidRPr="00E84226">
        <w:rPr>
          <w:rFonts w:ascii="Noto Sans" w:hAnsi="Noto Sans" w:cs="Noto Sans"/>
          <w:sz w:val="22"/>
          <w:szCs w:val="22"/>
        </w:rPr>
        <w:t>.</w:t>
      </w:r>
    </w:p>
    <w:p w:rsidR="004C4041" w:rsidRPr="00E84226" w:rsidRDefault="00950009" w:rsidP="00950009">
      <w:pPr>
        <w:pStyle w:val="Standard"/>
        <w:numPr>
          <w:ilvl w:val="0"/>
          <w:numId w:val="4"/>
        </w:numPr>
        <w:tabs>
          <w:tab w:val="left" w:pos="284"/>
        </w:tabs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 xml:space="preserve">El mutuo </w:t>
      </w:r>
      <w:r w:rsidR="00E84226" w:rsidRPr="00E84226">
        <w:rPr>
          <w:rFonts w:ascii="Noto Sans" w:hAnsi="Noto Sans" w:cs="Noto Sans"/>
          <w:sz w:val="22"/>
          <w:szCs w:val="22"/>
        </w:rPr>
        <w:t xml:space="preserve">acuerdo </w:t>
      </w:r>
      <w:r w:rsidR="00A673C4" w:rsidRPr="00E84226">
        <w:rPr>
          <w:rFonts w:ascii="Noto Sans" w:hAnsi="Noto Sans" w:cs="Noto Sans"/>
          <w:sz w:val="22"/>
          <w:szCs w:val="22"/>
        </w:rPr>
        <w:t>de las partes.</w:t>
      </w:r>
    </w:p>
    <w:p w:rsidR="004C4041" w:rsidRPr="00E84226" w:rsidRDefault="00A673C4" w:rsidP="00950009">
      <w:pPr>
        <w:pStyle w:val="Standard"/>
        <w:numPr>
          <w:ilvl w:val="0"/>
          <w:numId w:val="4"/>
        </w:numPr>
        <w:tabs>
          <w:tab w:val="left" w:pos="284"/>
        </w:tabs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 xml:space="preserve">La cancelación de la inscripción </w:t>
      </w:r>
      <w:r w:rsidR="00E84226" w:rsidRPr="00E84226">
        <w:rPr>
          <w:rFonts w:ascii="Noto Sans" w:hAnsi="Noto Sans" w:cs="Noto Sans"/>
          <w:sz w:val="22"/>
          <w:szCs w:val="22"/>
        </w:rPr>
        <w:t>en el</w:t>
      </w:r>
      <w:r w:rsidRPr="00E84226">
        <w:rPr>
          <w:rFonts w:ascii="Noto Sans" w:hAnsi="Noto Sans" w:cs="Noto Sans"/>
          <w:sz w:val="22"/>
          <w:szCs w:val="22"/>
        </w:rPr>
        <w:t xml:space="preserve"> Registro </w:t>
      </w:r>
      <w:r w:rsidR="00950009" w:rsidRPr="00E84226">
        <w:rPr>
          <w:rFonts w:ascii="Noto Sans" w:hAnsi="Noto Sans" w:cs="Noto Sans"/>
          <w:sz w:val="22"/>
          <w:szCs w:val="22"/>
        </w:rPr>
        <w:t>administrativo de instalaciones de au</w:t>
      </w:r>
      <w:r w:rsidRPr="00E84226">
        <w:rPr>
          <w:rFonts w:ascii="Noto Sans" w:hAnsi="Noto Sans" w:cs="Noto Sans"/>
          <w:sz w:val="22"/>
          <w:szCs w:val="22"/>
        </w:rPr>
        <w:t>toconsumo.</w:t>
      </w:r>
    </w:p>
    <w:p w:rsidR="004C4041" w:rsidRPr="00E84226" w:rsidRDefault="00A673C4" w:rsidP="00950009">
      <w:pPr>
        <w:pStyle w:val="Standard"/>
        <w:numPr>
          <w:ilvl w:val="0"/>
          <w:numId w:val="4"/>
        </w:numPr>
        <w:tabs>
          <w:tab w:val="left" w:pos="284"/>
        </w:tabs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>El cese de la actividad de producción de energía eléctrica</w:t>
      </w:r>
    </w:p>
    <w:p w:rsidR="004C4041" w:rsidRPr="00E84226" w:rsidRDefault="004C4041">
      <w:pPr>
        <w:pStyle w:val="Standard"/>
        <w:rPr>
          <w:rFonts w:ascii="Noto Sans" w:hAnsi="Noto Sans" w:cs="Noto Sans"/>
          <w:sz w:val="22"/>
          <w:szCs w:val="22"/>
        </w:rPr>
      </w:pPr>
    </w:p>
    <w:p w:rsidR="004C4041" w:rsidRPr="00E84226" w:rsidRDefault="00950009">
      <w:pPr>
        <w:pStyle w:val="Standard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>Como muestra de conformidad, firmamos este contrato.</w:t>
      </w:r>
    </w:p>
    <w:p w:rsidR="004C4041" w:rsidRPr="00E84226" w:rsidRDefault="004C4041">
      <w:pPr>
        <w:pStyle w:val="Standard"/>
        <w:rPr>
          <w:rFonts w:ascii="Noto Sans" w:hAnsi="Noto Sans" w:cs="Noto Sans"/>
          <w:sz w:val="22"/>
          <w:szCs w:val="22"/>
        </w:rPr>
      </w:pPr>
    </w:p>
    <w:p w:rsidR="004C4041" w:rsidRPr="00E84226" w:rsidRDefault="00A673C4">
      <w:pPr>
        <w:pStyle w:val="Standard"/>
        <w:rPr>
          <w:rFonts w:ascii="Noto Sans" w:hAnsi="Noto Sans" w:cs="Noto Sans"/>
          <w:sz w:val="22"/>
          <w:szCs w:val="22"/>
        </w:rPr>
      </w:pPr>
      <w:proofErr w:type="gramStart"/>
      <w:r w:rsidRPr="00E84226">
        <w:rPr>
          <w:rFonts w:ascii="Noto Sans" w:hAnsi="Noto Sans" w:cs="Noto Sans"/>
          <w:sz w:val="22"/>
          <w:szCs w:val="22"/>
        </w:rPr>
        <w:t xml:space="preserve">Palma,   </w:t>
      </w:r>
      <w:proofErr w:type="gramEnd"/>
      <w:r w:rsidRPr="00E84226">
        <w:rPr>
          <w:rFonts w:ascii="Noto Sans" w:hAnsi="Noto Sans" w:cs="Noto Sans"/>
          <w:sz w:val="22"/>
          <w:szCs w:val="22"/>
        </w:rPr>
        <w:t xml:space="preserve">                  d</w:t>
      </w:r>
      <w:r w:rsidR="00F85E84" w:rsidRPr="00E84226">
        <w:rPr>
          <w:rFonts w:ascii="Noto Sans" w:hAnsi="Noto Sans" w:cs="Noto Sans"/>
          <w:sz w:val="22"/>
          <w:szCs w:val="22"/>
        </w:rPr>
        <w:t xml:space="preserve"> </w:t>
      </w:r>
      <w:r w:rsidRPr="00E84226">
        <w:rPr>
          <w:rFonts w:ascii="Noto Sans" w:hAnsi="Noto Sans" w:cs="Noto Sans"/>
          <w:sz w:val="22"/>
          <w:szCs w:val="22"/>
        </w:rPr>
        <w:t xml:space="preserve">     </w:t>
      </w:r>
      <w:r w:rsidR="00F85E84" w:rsidRPr="00E84226">
        <w:rPr>
          <w:rFonts w:ascii="Noto Sans" w:hAnsi="Noto Sans" w:cs="Noto Sans"/>
          <w:sz w:val="22"/>
          <w:szCs w:val="22"/>
        </w:rPr>
        <w:t xml:space="preserve">           </w:t>
      </w:r>
      <w:r w:rsidRPr="00E84226">
        <w:rPr>
          <w:rFonts w:ascii="Noto Sans" w:hAnsi="Noto Sans" w:cs="Noto Sans"/>
          <w:sz w:val="22"/>
          <w:szCs w:val="22"/>
        </w:rPr>
        <w:t xml:space="preserve">               de </w:t>
      </w:r>
    </w:p>
    <w:p w:rsidR="00950009" w:rsidRPr="00E84226" w:rsidRDefault="00950009">
      <w:pPr>
        <w:pStyle w:val="Standard"/>
        <w:rPr>
          <w:rFonts w:ascii="Noto Sans" w:hAnsi="Noto Sans" w:cs="Noto Sans"/>
          <w:sz w:val="22"/>
          <w:szCs w:val="22"/>
        </w:rPr>
      </w:pPr>
    </w:p>
    <w:p w:rsidR="00950009" w:rsidRPr="00E84226" w:rsidRDefault="00950009">
      <w:pPr>
        <w:pStyle w:val="Standard"/>
        <w:rPr>
          <w:rFonts w:ascii="Noto Sans" w:hAnsi="Noto Sans" w:cs="Noto Sans"/>
          <w:sz w:val="22"/>
          <w:szCs w:val="22"/>
        </w:rPr>
      </w:pPr>
      <w:r w:rsidRPr="00E84226">
        <w:rPr>
          <w:rFonts w:ascii="Noto Sans" w:hAnsi="Noto Sans" w:cs="Noto Sans"/>
          <w:sz w:val="22"/>
          <w:szCs w:val="22"/>
        </w:rPr>
        <w:t>El productor</w:t>
      </w:r>
      <w:r w:rsidRPr="00E84226">
        <w:rPr>
          <w:rFonts w:ascii="Noto Sans" w:hAnsi="Noto Sans" w:cs="Noto Sans"/>
          <w:sz w:val="22"/>
          <w:szCs w:val="22"/>
        </w:rPr>
        <w:tab/>
      </w:r>
      <w:r w:rsidRPr="00E84226">
        <w:rPr>
          <w:rFonts w:ascii="Noto Sans" w:hAnsi="Noto Sans" w:cs="Noto Sans"/>
          <w:sz w:val="22"/>
          <w:szCs w:val="22"/>
        </w:rPr>
        <w:tab/>
      </w:r>
      <w:r w:rsidRPr="00E84226">
        <w:rPr>
          <w:rFonts w:ascii="Noto Sans" w:hAnsi="Noto Sans" w:cs="Noto Sans"/>
          <w:sz w:val="22"/>
          <w:szCs w:val="22"/>
        </w:rPr>
        <w:tab/>
      </w:r>
      <w:r w:rsidRPr="00E84226">
        <w:rPr>
          <w:rFonts w:ascii="Noto Sans" w:hAnsi="Noto Sans" w:cs="Noto Sans"/>
          <w:sz w:val="22"/>
          <w:szCs w:val="22"/>
        </w:rPr>
        <w:tab/>
      </w:r>
      <w:r w:rsidRPr="00E84226">
        <w:rPr>
          <w:rFonts w:ascii="Noto Sans" w:hAnsi="Noto Sans" w:cs="Noto Sans"/>
          <w:sz w:val="22"/>
          <w:szCs w:val="22"/>
        </w:rPr>
        <w:tab/>
      </w:r>
      <w:r w:rsidRPr="00E84226">
        <w:rPr>
          <w:rFonts w:ascii="Noto Sans" w:hAnsi="Noto Sans" w:cs="Noto Sans"/>
          <w:sz w:val="22"/>
          <w:szCs w:val="22"/>
        </w:rPr>
        <w:tab/>
      </w:r>
      <w:r w:rsidRPr="00E84226">
        <w:rPr>
          <w:rFonts w:ascii="Noto Sans" w:hAnsi="Noto Sans" w:cs="Noto Sans"/>
          <w:sz w:val="22"/>
          <w:szCs w:val="22"/>
        </w:rPr>
        <w:tab/>
        <w:t>El consumidor</w:t>
      </w:r>
    </w:p>
    <w:sectPr w:rsidR="00950009" w:rsidRPr="00E84226" w:rsidSect="00C1785F">
      <w:pgSz w:w="11906" w:h="16838"/>
      <w:pgMar w:top="1134" w:right="113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3B" w:rsidRDefault="00676B3B">
      <w:r>
        <w:separator/>
      </w:r>
    </w:p>
  </w:endnote>
  <w:endnote w:type="continuationSeparator" w:id="0">
    <w:p w:rsidR="00676B3B" w:rsidRDefault="0067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3B" w:rsidRDefault="00676B3B">
      <w:r>
        <w:rPr>
          <w:color w:val="000000"/>
        </w:rPr>
        <w:separator/>
      </w:r>
    </w:p>
  </w:footnote>
  <w:footnote w:type="continuationSeparator" w:id="0">
    <w:p w:rsidR="00676B3B" w:rsidRDefault="0067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021"/>
    <w:multiLevelType w:val="hybridMultilevel"/>
    <w:tmpl w:val="3FBA4922"/>
    <w:lvl w:ilvl="0" w:tplc="2D16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62A"/>
    <w:multiLevelType w:val="hybridMultilevel"/>
    <w:tmpl w:val="D884D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B26"/>
    <w:multiLevelType w:val="hybridMultilevel"/>
    <w:tmpl w:val="234C6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0F1D"/>
    <w:multiLevelType w:val="hybridMultilevel"/>
    <w:tmpl w:val="0C545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5BB"/>
    <w:multiLevelType w:val="hybridMultilevel"/>
    <w:tmpl w:val="514C20FC"/>
    <w:lvl w:ilvl="0" w:tplc="9DA447BC">
      <w:start w:val="1"/>
      <w:numFmt w:val="bullet"/>
      <w:lvlText w:val="—"/>
      <w:lvlJc w:val="left"/>
      <w:pPr>
        <w:ind w:left="786" w:hanging="360"/>
      </w:pPr>
      <w:rPr>
        <w:rFonts w:ascii="Noto Sans" w:eastAsia="NSimSu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41"/>
    <w:rsid w:val="000518E1"/>
    <w:rsid w:val="0010572C"/>
    <w:rsid w:val="00186526"/>
    <w:rsid w:val="00222267"/>
    <w:rsid w:val="00292F67"/>
    <w:rsid w:val="004B68DE"/>
    <w:rsid w:val="004C4041"/>
    <w:rsid w:val="004C4908"/>
    <w:rsid w:val="005130D0"/>
    <w:rsid w:val="0055169D"/>
    <w:rsid w:val="00676B3B"/>
    <w:rsid w:val="006D32BD"/>
    <w:rsid w:val="006E3F6B"/>
    <w:rsid w:val="007A232D"/>
    <w:rsid w:val="00950009"/>
    <w:rsid w:val="009863D5"/>
    <w:rsid w:val="009E3FD1"/>
    <w:rsid w:val="00A24A63"/>
    <w:rsid w:val="00A673C4"/>
    <w:rsid w:val="00A84F94"/>
    <w:rsid w:val="00C1785F"/>
    <w:rsid w:val="00C24F62"/>
    <w:rsid w:val="00C25F35"/>
    <w:rsid w:val="00CA3F1F"/>
    <w:rsid w:val="00DE03CF"/>
    <w:rsid w:val="00E84226"/>
    <w:rsid w:val="00EA18B7"/>
    <w:rsid w:val="00EA2918"/>
    <w:rsid w:val="00F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976A-63F2-4375-B8B7-D3F9983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6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226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2222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267"/>
    <w:pPr>
      <w:spacing w:after="140" w:line="276" w:lineRule="auto"/>
    </w:pPr>
  </w:style>
  <w:style w:type="paragraph" w:styleId="Lista">
    <w:name w:val="List"/>
    <w:basedOn w:val="Textbody"/>
    <w:rsid w:val="00222267"/>
  </w:style>
  <w:style w:type="paragraph" w:customStyle="1" w:styleId="Epgrafe">
    <w:name w:val="Epígrafe"/>
    <w:basedOn w:val="Standard"/>
    <w:rsid w:val="002222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267"/>
    <w:pPr>
      <w:suppressLineNumbers/>
    </w:pPr>
  </w:style>
  <w:style w:type="paragraph" w:styleId="Prrafodelista">
    <w:name w:val="List Paragraph"/>
    <w:basedOn w:val="Normal"/>
    <w:uiPriority w:val="34"/>
    <w:qFormat/>
    <w:rsid w:val="00C1785F"/>
    <w:pPr>
      <w:ind w:left="720"/>
      <w:contextualSpacing/>
    </w:pPr>
    <w:rPr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C25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F35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F35"/>
    <w:rPr>
      <w:kern w:val="3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F35"/>
    <w:rPr>
      <w:b/>
      <w:bCs/>
      <w:kern w:val="3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F3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35"/>
    <w:rPr>
      <w:rFonts w:ascii="Tahoma" w:hAnsi="Tahoma"/>
      <w:kern w:val="3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 Comas Hernandez</dc:creator>
  <cp:keywords/>
  <cp:lastModifiedBy>Bartolome Comas Hernandez</cp:lastModifiedBy>
  <cp:revision>3</cp:revision>
  <dcterms:created xsi:type="dcterms:W3CDTF">2019-05-15T06:24:00Z</dcterms:created>
  <dcterms:modified xsi:type="dcterms:W3CDTF">2019-05-15T08:11:00Z</dcterms:modified>
</cp:coreProperties>
</file>