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36DE15A">
      <w:pPr>
        <w:rPr>
          <w:rFonts w:hint="default" w:eastAsia="Noto Sans" w:cs="Noto Sans"/>
          <w:b/>
          <w:bCs/>
          <w:color w:val="000000"/>
          <w:kern w:val="0"/>
          <w:sz w:val="22"/>
          <w:szCs w:val="22"/>
          <w:lang w:val="ca-ES" w:eastAsia="zh-CN" w:bidi="ar"/>
        </w:rPr>
      </w:pPr>
    </w:p>
    <w:p w14:paraId="00AEA9CA">
      <w:pPr>
        <w:rPr>
          <w:rFonts w:hint="default" w:eastAsia="Noto Sans" w:cs="Noto Sans"/>
          <w:b/>
          <w:bCs/>
          <w:color w:val="000000"/>
          <w:kern w:val="0"/>
          <w:sz w:val="22"/>
          <w:szCs w:val="22"/>
          <w:lang w:val="es-ES" w:eastAsia="zh-CN" w:bidi="ar"/>
        </w:rPr>
      </w:pPr>
      <w:r>
        <w:rPr>
          <w:rFonts w:hint="default" w:eastAsia="Noto Sans" w:cs="Noto Sans"/>
          <w:b/>
          <w:bCs/>
          <w:color w:val="000000"/>
          <w:kern w:val="0"/>
          <w:sz w:val="22"/>
          <w:szCs w:val="22"/>
          <w:lang w:val="es-ES" w:eastAsia="zh-CN" w:bidi="ar"/>
        </w:rPr>
        <w:t>Hoja de autobaremación</w:t>
      </w:r>
    </w:p>
    <w:p w14:paraId="3D2E07C2">
      <w:pPr>
        <w:rPr>
          <w:rFonts w:hint="default" w:eastAsia="Noto Sans" w:cs="Noto Sans"/>
          <w:b/>
          <w:bCs/>
          <w:color w:val="000000"/>
          <w:kern w:val="0"/>
          <w:sz w:val="22"/>
          <w:szCs w:val="22"/>
          <w:lang w:val="es-ES" w:eastAsia="zh-CN" w:bidi="ar"/>
        </w:rPr>
      </w:pPr>
    </w:p>
    <w:tbl>
      <w:tblPr>
        <w:tblStyle w:val="3"/>
        <w:tblW w:w="9188" w:type="dxa"/>
        <w:tblInd w:w="11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7988"/>
        <w:gridCol w:w="1200"/>
      </w:tblGrid>
      <w:tr w14:paraId="0D85E862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c>
          <w:tcPr>
            <w:tcW w:w="7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top"/>
          </w:tcPr>
          <w:p w14:paraId="1F7BA557">
            <w:pPr>
              <w:widowControl w:val="0"/>
              <w:spacing w:after="120"/>
              <w:rPr>
                <w:rFonts w:hint="default" w:ascii="Noto Sans" w:hAnsi="Noto Sans" w:cs="Noto Sans"/>
                <w:sz w:val="22"/>
                <w:szCs w:val="22"/>
              </w:rPr>
            </w:pPr>
            <w:r>
              <w:rPr>
                <w:rFonts w:hint="default" w:ascii="Noto Sans" w:hAnsi="Noto Sans" w:cs="Noto Sans"/>
                <w:b/>
                <w:sz w:val="22"/>
                <w:szCs w:val="22"/>
              </w:rPr>
              <w:t xml:space="preserve">NOMBRE y </w:t>
            </w:r>
            <w:r>
              <w:rPr>
                <w:rFonts w:hint="default" w:cs="Noto Sans"/>
                <w:b/>
                <w:sz w:val="22"/>
                <w:szCs w:val="22"/>
                <w:lang w:val="es-ES"/>
              </w:rPr>
              <w:t>APELLIDO</w:t>
            </w:r>
            <w:r>
              <w:rPr>
                <w:rFonts w:hint="default" w:ascii="Noto Sans" w:hAnsi="Noto Sans" w:cs="Noto Sans"/>
                <w:b/>
                <w:sz w:val="22"/>
                <w:szCs w:val="22"/>
              </w:rPr>
              <w:t>S:</w:t>
            </w:r>
          </w:p>
          <w:p w14:paraId="17A7141C">
            <w:pPr>
              <w:widowControl w:val="0"/>
              <w:spacing w:after="120"/>
              <w:rPr>
                <w:rFonts w:hint="default" w:ascii="Noto Sans" w:hAnsi="Noto Sans" w:cs="Noto Sans"/>
                <w:sz w:val="22"/>
                <w:szCs w:val="22"/>
              </w:rPr>
            </w:pPr>
            <w:r>
              <w:rPr>
                <w:rFonts w:hint="default" w:ascii="Noto Sans" w:hAnsi="Noto Sans" w:cs="Noto Sans"/>
                <w:b/>
                <w:sz w:val="22"/>
                <w:szCs w:val="22"/>
              </w:rPr>
              <w:t>NIF/NIE: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18C4463C">
            <w:pPr>
              <w:pStyle w:val="6"/>
              <w:rPr>
                <w:rFonts w:hint="default" w:ascii="Noto Sans" w:hAnsi="Noto Sans" w:cs="Noto Sans"/>
                <w:sz w:val="22"/>
                <w:szCs w:val="22"/>
              </w:rPr>
            </w:pPr>
            <w:r>
              <w:rPr>
                <w:rFonts w:hint="default" w:ascii="Noto Sans" w:hAnsi="Noto Sans" w:cs="Noto Sans"/>
                <w:b/>
                <w:sz w:val="22"/>
                <w:szCs w:val="22"/>
              </w:rPr>
              <w:t>TOTAL PUNTOS</w:t>
            </w:r>
          </w:p>
        </w:tc>
      </w:tr>
      <w:tr w14:paraId="363DFC6C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c>
          <w:tcPr>
            <w:tcW w:w="7988" w:type="dxa"/>
            <w:tcBorders>
              <w:left w:val="single" w:color="000000" w:sz="4" w:space="0"/>
              <w:bottom w:val="single" w:color="000000" w:sz="4" w:space="0"/>
            </w:tcBorders>
            <w:noWrap w:val="0"/>
            <w:vAlign w:val="top"/>
          </w:tcPr>
          <w:p w14:paraId="582AD554">
            <w:pPr>
              <w:rPr>
                <w:rFonts w:hint="default" w:ascii="Noto Sans" w:hAnsi="Noto Sans" w:cs="Noto Sans"/>
                <w:sz w:val="22"/>
                <w:szCs w:val="22"/>
              </w:rPr>
            </w:pPr>
            <w:r>
              <w:rPr>
                <w:rFonts w:hint="default" w:ascii="Noto Sans" w:hAnsi="Noto Sans" w:cs="Noto Sans"/>
                <w:b/>
                <w:sz w:val="22"/>
                <w:szCs w:val="22"/>
                <w:u w:val="single"/>
              </w:rPr>
              <w:t>1. Titulaciones académicas</w:t>
            </w:r>
            <w:r>
              <w:rPr>
                <w:rFonts w:hint="default" w:ascii="Noto Sans" w:hAnsi="Noto Sans" w:cs="Noto Sans"/>
                <w:sz w:val="22"/>
                <w:szCs w:val="22"/>
              </w:rPr>
              <w:t xml:space="preserve"> Solo se valorarán las titulaciones académicas oficiales y reconocidas por el Ministerio de Educación, de acuerdo con los criterios previstos en el anexo 5 de la convocatoria.</w:t>
            </w:r>
          </w:p>
          <w:p w14:paraId="61A36336">
            <w:pPr>
              <w:rPr>
                <w:rFonts w:hint="default" w:ascii="Noto Sans" w:hAnsi="Noto Sans" w:cs="Noto Sans"/>
                <w:sz w:val="22"/>
                <w:szCs w:val="22"/>
              </w:rPr>
            </w:pPr>
          </w:p>
          <w:p w14:paraId="6437404C">
            <w:pPr>
              <w:rPr>
                <w:rFonts w:hint="default" w:ascii="Noto Sans" w:hAnsi="Noto Sans" w:cs="Noto Sans"/>
                <w:sz w:val="22"/>
                <w:szCs w:val="22"/>
              </w:rPr>
            </w:pPr>
            <w:r>
              <w:rPr>
                <w:rFonts w:hint="default" w:ascii="Noto Sans" w:hAnsi="Noto Sans" w:cs="Noto Sans"/>
                <w:sz w:val="22"/>
                <w:szCs w:val="22"/>
              </w:rPr>
              <w:t>- Por cada título de grado o equivalente: 1 punto</w:t>
            </w:r>
          </w:p>
          <w:p w14:paraId="2F2851FB">
            <w:pPr>
              <w:rPr>
                <w:rFonts w:hint="default" w:ascii="Noto Sans" w:hAnsi="Noto Sans" w:cs="Noto Sans"/>
                <w:sz w:val="22"/>
                <w:szCs w:val="22"/>
              </w:rPr>
            </w:pPr>
            <w:r>
              <w:rPr>
                <w:rFonts w:hint="default" w:ascii="Noto Sans" w:hAnsi="Noto Sans" w:cs="Noto Sans"/>
                <w:sz w:val="22"/>
                <w:szCs w:val="22"/>
              </w:rPr>
              <w:t>- Por cada título oficial de máster: 1 punto</w:t>
            </w:r>
          </w:p>
          <w:p w14:paraId="781E8815">
            <w:pPr>
              <w:rPr>
                <w:rFonts w:hint="default" w:ascii="Noto Sans" w:hAnsi="Noto Sans" w:cs="Noto Sans"/>
                <w:sz w:val="22"/>
                <w:szCs w:val="22"/>
              </w:rPr>
            </w:pPr>
            <w:r>
              <w:rPr>
                <w:rFonts w:hint="default" w:ascii="Noto Sans" w:hAnsi="Noto Sans" w:cs="Noto Sans"/>
                <w:sz w:val="22"/>
                <w:szCs w:val="22"/>
              </w:rPr>
              <w:t>- Título de técnico superior de formación profesional reconocido como nivel MECES 1 o equivalente académico: 1 punto</w:t>
            </w:r>
          </w:p>
          <w:p w14:paraId="2465BD8C">
            <w:pPr>
              <w:rPr>
                <w:rFonts w:hint="default" w:ascii="Noto Sans" w:hAnsi="Noto Sans" w:cs="Noto Sans"/>
                <w:sz w:val="22"/>
                <w:szCs w:val="22"/>
              </w:rPr>
            </w:pPr>
            <w:r>
              <w:rPr>
                <w:rFonts w:hint="default" w:ascii="Noto Sans" w:hAnsi="Noto Sans" w:cs="Noto Sans"/>
                <w:sz w:val="22"/>
                <w:szCs w:val="22"/>
              </w:rPr>
              <w:t>- Título de bachillerato o de técnico de formación profesional o equivalente académico: 1 punto.</w:t>
            </w:r>
          </w:p>
          <w:p w14:paraId="2D68BF44">
            <w:pPr>
              <w:rPr>
                <w:rFonts w:hint="default" w:ascii="Noto Sans" w:hAnsi="Noto Sans" w:cs="Noto Sans"/>
                <w:sz w:val="22"/>
                <w:szCs w:val="22"/>
              </w:rPr>
            </w:pPr>
          </w:p>
          <w:p w14:paraId="61FD82C7">
            <w:pPr>
              <w:widowControl w:val="0"/>
              <w:tabs>
                <w:tab w:val="left" w:pos="1866"/>
              </w:tabs>
              <w:rPr>
                <w:rFonts w:hint="default" w:ascii="Noto Sans" w:hAnsi="Noto Sans" w:cs="Noto Sans"/>
                <w:sz w:val="22"/>
                <w:szCs w:val="22"/>
              </w:rPr>
            </w:pPr>
            <w:r>
              <w:rPr>
                <w:rFonts w:hint="default" w:ascii="Noto Sans" w:hAnsi="Noto Sans" w:cs="Noto Sans"/>
                <w:b/>
                <w:bCs/>
                <w:sz w:val="22"/>
                <w:szCs w:val="22"/>
              </w:rPr>
              <w:t>Puntuación máxima: 2 puntos.</w:t>
            </w:r>
          </w:p>
          <w:p w14:paraId="049B4D68">
            <w:pPr>
              <w:widowControl w:val="0"/>
              <w:tabs>
                <w:tab w:val="left" w:pos="1866"/>
              </w:tabs>
              <w:rPr>
                <w:rFonts w:hint="default" w:ascii="Noto Sans" w:hAnsi="Noto Sans" w:cs="Noto Sans"/>
                <w:sz w:val="22"/>
                <w:szCs w:val="22"/>
              </w:rPr>
            </w:pPr>
          </w:p>
        </w:tc>
        <w:tc>
          <w:tcPr>
            <w:tcW w:w="1200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43AE2218">
            <w:pPr>
              <w:pStyle w:val="6"/>
              <w:snapToGrid w:val="0"/>
              <w:rPr>
                <w:rFonts w:hint="default" w:ascii="Noto Sans" w:hAnsi="Noto Sans" w:cs="Noto Sans"/>
                <w:sz w:val="22"/>
                <w:szCs w:val="22"/>
              </w:rPr>
            </w:pPr>
          </w:p>
        </w:tc>
      </w:tr>
      <w:tr w14:paraId="009D169D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c>
          <w:tcPr>
            <w:tcW w:w="7988" w:type="dxa"/>
            <w:tcBorders>
              <w:left w:val="single" w:color="000000" w:sz="4" w:space="0"/>
              <w:bottom w:val="single" w:color="000000" w:sz="4" w:space="0"/>
            </w:tcBorders>
            <w:noWrap w:val="0"/>
            <w:vAlign w:val="top"/>
          </w:tcPr>
          <w:p w14:paraId="6643DC5F">
            <w:pPr>
              <w:rPr>
                <w:rFonts w:hint="default" w:ascii="Noto Sans" w:hAnsi="Noto Sans" w:cs="Noto Sans"/>
                <w:sz w:val="22"/>
                <w:szCs w:val="22"/>
              </w:rPr>
            </w:pPr>
            <w:r>
              <w:rPr>
                <w:rFonts w:hint="default" w:ascii="Noto Sans" w:hAnsi="Noto Sans" w:cs="Noto Sans"/>
                <w:b/>
                <w:sz w:val="22"/>
                <w:szCs w:val="22"/>
                <w:u w:val="single"/>
              </w:rPr>
              <w:t>2. Formación y perfeccionamiento</w:t>
            </w:r>
            <w:r>
              <w:rPr>
                <w:rFonts w:hint="default" w:ascii="Noto Sans" w:hAnsi="Noto Sans" w:cs="Noto Sans"/>
                <w:b/>
                <w:sz w:val="22"/>
                <w:szCs w:val="22"/>
              </w:rPr>
              <w:t xml:space="preserve"> </w:t>
            </w:r>
            <w:r>
              <w:rPr>
                <w:rFonts w:hint="default" w:ascii="Noto Sans" w:hAnsi="Noto Sans" w:cs="Noto Sans"/>
                <w:sz w:val="22"/>
                <w:szCs w:val="22"/>
              </w:rPr>
              <w:t>Solo se valorarán los cursos que versen sobre materias directamente relacionadas con las tareas propias del FOGAIBA.</w:t>
            </w:r>
          </w:p>
          <w:p w14:paraId="71BA717E">
            <w:pPr>
              <w:rPr>
                <w:rFonts w:hint="default" w:ascii="Noto Sans" w:hAnsi="Noto Sans" w:eastAsia="Noto Sans" w:cs="Noto Sans"/>
                <w:sz w:val="22"/>
                <w:szCs w:val="22"/>
                <w:lang w:val="ca-ES" w:eastAsia="zh-CN" w:bidi="ar"/>
              </w:rPr>
            </w:pPr>
          </w:p>
          <w:p w14:paraId="58FEA3B2">
            <w:pPr>
              <w:rPr>
                <w:rFonts w:hint="default" w:ascii="Noto Sans" w:hAnsi="Noto Sans" w:cs="Noto Sans"/>
                <w:sz w:val="22"/>
                <w:szCs w:val="22"/>
              </w:rPr>
            </w:pPr>
            <w:r>
              <w:rPr>
                <w:rFonts w:hint="default" w:ascii="Noto Sans" w:hAnsi="Noto Sans" w:cs="Noto Sans"/>
                <w:sz w:val="22"/>
                <w:szCs w:val="22"/>
              </w:rPr>
              <w:t>Se valorarán todos los cursos de formación certificados con aprovechamiento o asistencia, impartidos o promovidos por cualquier Administración pública de base territorial, escuelas de administración pública, ente del sector público instrumental de la CAIB, y Fundación Tripartita, FUNDAE y universidades.</w:t>
            </w:r>
          </w:p>
          <w:p w14:paraId="47C7FBDA">
            <w:pPr>
              <w:rPr>
                <w:rFonts w:hint="default" w:ascii="Noto Sans" w:hAnsi="Noto Sans" w:cs="Noto Sans"/>
                <w:sz w:val="22"/>
                <w:szCs w:val="22"/>
              </w:rPr>
            </w:pPr>
          </w:p>
          <w:p w14:paraId="698606B4">
            <w:pPr>
              <w:rPr>
                <w:rFonts w:hint="default" w:ascii="Noto Sans" w:hAnsi="Noto Sans" w:cs="Noto Sans"/>
                <w:sz w:val="22"/>
                <w:szCs w:val="22"/>
              </w:rPr>
            </w:pPr>
            <w:r>
              <w:rPr>
                <w:rFonts w:hint="default" w:ascii="Noto Sans" w:hAnsi="Noto Sans" w:cs="Noto Sans"/>
                <w:sz w:val="22"/>
                <w:szCs w:val="22"/>
              </w:rPr>
              <w:t>También se valorarán en este apartado los cursos de formación homologados por las escuelas de administración pública y los cursos impartidos por las organizaciones sindicales en el marco de los acuerdos de formación continua con la Administración.</w:t>
            </w:r>
          </w:p>
          <w:p w14:paraId="2C46617F">
            <w:pPr>
              <w:rPr>
                <w:rFonts w:hint="default" w:ascii="Noto Sans" w:hAnsi="Noto Sans" w:eastAsia="Noto Sans" w:cs="Noto Sans"/>
                <w:sz w:val="22"/>
                <w:szCs w:val="22"/>
                <w:lang w:val="ca-ES" w:eastAsia="zh-CN" w:bidi="ar"/>
              </w:rPr>
            </w:pPr>
          </w:p>
          <w:p w14:paraId="480D22E3">
            <w:pPr>
              <w:rPr>
                <w:rFonts w:hint="default" w:ascii="Noto Sans" w:hAnsi="Noto Sans" w:cs="Noto Sans"/>
                <w:sz w:val="22"/>
                <w:szCs w:val="22"/>
              </w:rPr>
            </w:pPr>
            <w:r>
              <w:rPr>
                <w:rFonts w:hint="default" w:ascii="Noto Sans" w:hAnsi="Noto Sans" w:cs="Noto Sans"/>
                <w:sz w:val="22"/>
                <w:szCs w:val="22"/>
              </w:rPr>
              <w:t>Los cursos se valorarán de acuerdo con la siguiente puntuación:</w:t>
            </w:r>
          </w:p>
          <w:p w14:paraId="50019752">
            <w:pPr>
              <w:rPr>
                <w:rFonts w:hint="default" w:ascii="Noto Sans" w:hAnsi="Noto Sans" w:cs="Noto Sans"/>
                <w:sz w:val="22"/>
                <w:szCs w:val="22"/>
              </w:rPr>
            </w:pPr>
          </w:p>
          <w:p w14:paraId="4CFB5BAB">
            <w:pPr>
              <w:rPr>
                <w:rFonts w:hint="default" w:ascii="Noto Sans" w:hAnsi="Noto Sans" w:cs="Noto Sans"/>
                <w:sz w:val="22"/>
                <w:szCs w:val="22"/>
              </w:rPr>
            </w:pPr>
            <w:r>
              <w:rPr>
                <w:rFonts w:hint="default" w:ascii="Noto Sans" w:hAnsi="Noto Sans" w:cs="Noto Sans"/>
                <w:sz w:val="22"/>
                <w:szCs w:val="22"/>
              </w:rPr>
              <w:t>- Cursos con certificado de aprovechamiento o impartidos: 0,02 puntos por hora.</w:t>
            </w:r>
          </w:p>
          <w:p w14:paraId="36EC6880">
            <w:pPr>
              <w:tabs>
                <w:tab w:val="left" w:pos="1866"/>
              </w:tabs>
              <w:rPr>
                <w:rFonts w:hint="default" w:ascii="Noto Sans" w:hAnsi="Noto Sans" w:cs="Noto Sans"/>
                <w:sz w:val="22"/>
                <w:szCs w:val="22"/>
              </w:rPr>
            </w:pPr>
            <w:r>
              <w:rPr>
                <w:rFonts w:hint="default" w:ascii="Noto Sans" w:hAnsi="Noto Sans" w:cs="Noto Sans"/>
                <w:sz w:val="22"/>
                <w:szCs w:val="22"/>
              </w:rPr>
              <w:t>- Cursos con certificado de asistencia: 0,01 puntos por hora.</w:t>
            </w:r>
          </w:p>
          <w:p w14:paraId="3724309E">
            <w:pPr>
              <w:widowControl w:val="0"/>
              <w:tabs>
                <w:tab w:val="left" w:pos="1866"/>
              </w:tabs>
              <w:rPr>
                <w:rFonts w:hint="default" w:ascii="Noto Sans" w:hAnsi="Noto Sans" w:cs="Noto Sans"/>
                <w:sz w:val="22"/>
                <w:szCs w:val="22"/>
              </w:rPr>
            </w:pPr>
          </w:p>
          <w:p w14:paraId="1099B4DB">
            <w:pPr>
              <w:widowControl w:val="0"/>
              <w:tabs>
                <w:tab w:val="left" w:pos="1866"/>
              </w:tabs>
              <w:rPr>
                <w:rFonts w:hint="default" w:ascii="Noto Sans" w:hAnsi="Noto Sans" w:cs="Noto Sans"/>
                <w:sz w:val="22"/>
                <w:szCs w:val="22"/>
              </w:rPr>
            </w:pPr>
            <w:r>
              <w:rPr>
                <w:rFonts w:hint="default" w:ascii="Noto Sans" w:hAnsi="Noto Sans" w:cs="Noto Sans"/>
                <w:b/>
                <w:bCs/>
                <w:sz w:val="22"/>
                <w:szCs w:val="22"/>
              </w:rPr>
              <w:t>Puntuación máxima: 2 puntos.</w:t>
            </w:r>
          </w:p>
        </w:tc>
        <w:tc>
          <w:tcPr>
            <w:tcW w:w="1200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58DFF13D">
            <w:pPr>
              <w:pStyle w:val="6"/>
              <w:snapToGrid w:val="0"/>
              <w:rPr>
                <w:rFonts w:hint="default" w:ascii="Noto Sans" w:hAnsi="Noto Sans" w:cs="Noto Sans"/>
                <w:sz w:val="22"/>
                <w:szCs w:val="22"/>
              </w:rPr>
            </w:pPr>
          </w:p>
        </w:tc>
      </w:tr>
      <w:tr w14:paraId="0077056E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trHeight w:val="6104" w:hRule="atLeast"/>
        </w:trPr>
        <w:tc>
          <w:tcPr>
            <w:tcW w:w="7988" w:type="dxa"/>
            <w:tcBorders>
              <w:left w:val="single" w:color="000000" w:sz="4" w:space="0"/>
              <w:bottom w:val="single" w:color="000000" w:sz="4" w:space="0"/>
            </w:tcBorders>
            <w:noWrap w:val="0"/>
            <w:vAlign w:val="top"/>
          </w:tcPr>
          <w:p w14:paraId="438FF627">
            <w:pPr>
              <w:widowControl w:val="0"/>
              <w:tabs>
                <w:tab w:val="left" w:pos="1866"/>
              </w:tabs>
              <w:rPr>
                <w:rFonts w:hint="default" w:ascii="Noto Sans" w:hAnsi="Noto Sans" w:cs="Noto Sans"/>
                <w:sz w:val="22"/>
                <w:szCs w:val="22"/>
              </w:rPr>
            </w:pPr>
            <w:r>
              <w:rPr>
                <w:rFonts w:hint="default" w:ascii="Noto Sans" w:hAnsi="Noto Sans" w:cs="Noto Sans"/>
                <w:b/>
                <w:sz w:val="22"/>
                <w:szCs w:val="22"/>
                <w:u w:val="single"/>
              </w:rPr>
              <w:t>3. Experiencia profesional</w:t>
            </w:r>
          </w:p>
          <w:p w14:paraId="16994A50">
            <w:pPr>
              <w:widowControl w:val="0"/>
              <w:tabs>
                <w:tab w:val="left" w:pos="1866"/>
              </w:tabs>
              <w:rPr>
                <w:rFonts w:hint="default" w:ascii="Noto Sans" w:hAnsi="Noto Sans" w:cs="Noto Sans"/>
                <w:sz w:val="22"/>
                <w:szCs w:val="22"/>
              </w:rPr>
            </w:pPr>
          </w:p>
          <w:p w14:paraId="67ED17FE">
            <w:pPr>
              <w:rPr>
                <w:rFonts w:hint="default" w:ascii="Noto Sans" w:hAnsi="Noto Sans" w:cs="Noto Sans"/>
                <w:sz w:val="22"/>
                <w:szCs w:val="22"/>
              </w:rPr>
            </w:pPr>
            <w:r>
              <w:rPr>
                <w:rFonts w:hint="default" w:ascii="Noto Sans" w:hAnsi="Noto Sans" w:cs="Noto Sans"/>
                <w:sz w:val="22"/>
                <w:szCs w:val="22"/>
              </w:rPr>
              <w:t>Se valorará el tiempo de servicios prestados con funciones de igual o similar categoría:</w:t>
            </w:r>
          </w:p>
          <w:p w14:paraId="36FB9BB3">
            <w:pPr>
              <w:rPr>
                <w:rFonts w:hint="default" w:ascii="Noto Sans" w:hAnsi="Noto Sans" w:cs="Noto Sans"/>
                <w:sz w:val="22"/>
                <w:szCs w:val="22"/>
              </w:rPr>
            </w:pPr>
          </w:p>
          <w:p w14:paraId="15AAEAB5">
            <w:pPr>
              <w:rPr>
                <w:rFonts w:hint="default" w:ascii="Noto Sans" w:hAnsi="Noto Sans" w:cs="Noto Sans"/>
                <w:sz w:val="22"/>
                <w:szCs w:val="22"/>
              </w:rPr>
            </w:pPr>
            <w:r>
              <w:rPr>
                <w:rFonts w:hint="default" w:ascii="Noto Sans" w:hAnsi="Noto Sans" w:cs="Noto Sans"/>
                <w:i/>
                <w:sz w:val="22"/>
                <w:szCs w:val="22"/>
              </w:rPr>
              <w:t>a)</w:t>
            </w:r>
            <w:r>
              <w:rPr>
                <w:rFonts w:hint="default" w:ascii="Noto Sans" w:hAnsi="Noto Sans" w:cs="Noto Sans"/>
                <w:sz w:val="22"/>
                <w:szCs w:val="22"/>
              </w:rPr>
              <w:t xml:space="preserve"> Por cada mes trabajado en el FOGAIBA en la misma categoría profesional y especialidad, si procede, a la que se opta: 0,15 puntos</w:t>
            </w:r>
            <w:r>
              <w:rPr>
                <w:rFonts w:hint="default" w:cs="Noto Sans"/>
                <w:sz w:val="22"/>
                <w:szCs w:val="22"/>
                <w:lang w:val="es-ES"/>
              </w:rPr>
              <w:t xml:space="preserve">. </w:t>
            </w:r>
          </w:p>
          <w:p w14:paraId="53364C75">
            <w:pPr>
              <w:rPr>
                <w:rFonts w:hint="default" w:ascii="Noto Sans" w:hAnsi="Noto Sans" w:cs="Noto Sans"/>
                <w:sz w:val="22"/>
                <w:szCs w:val="22"/>
              </w:rPr>
            </w:pPr>
            <w:r>
              <w:rPr>
                <w:rFonts w:hint="default" w:ascii="Noto Sans" w:hAnsi="Noto Sans" w:cs="Noto Sans"/>
                <w:i/>
                <w:sz w:val="22"/>
                <w:szCs w:val="22"/>
              </w:rPr>
              <w:t>b)</w:t>
            </w:r>
            <w:r>
              <w:rPr>
                <w:rFonts w:hint="default" w:ascii="Noto Sans" w:hAnsi="Noto Sans" w:cs="Noto Sans"/>
                <w:sz w:val="22"/>
                <w:szCs w:val="22"/>
              </w:rPr>
              <w:t xml:space="preserve"> Por cada mes trabajado en el FOGAIBA en una categoría profesional inferior, si procede, a la que se opta: 0,10 puntos</w:t>
            </w:r>
            <w:r>
              <w:rPr>
                <w:rFonts w:hint="default" w:cs="Noto Sans"/>
                <w:sz w:val="22"/>
                <w:szCs w:val="22"/>
                <w:lang w:val="es-ES"/>
              </w:rPr>
              <w:t xml:space="preserve">. </w:t>
            </w:r>
          </w:p>
          <w:p w14:paraId="3E66DA80">
            <w:pPr>
              <w:rPr>
                <w:rFonts w:hint="default" w:ascii="Noto Sans" w:hAnsi="Noto Sans" w:cs="Noto Sans"/>
                <w:sz w:val="22"/>
                <w:szCs w:val="22"/>
              </w:rPr>
            </w:pPr>
            <w:r>
              <w:rPr>
                <w:rFonts w:hint="default" w:ascii="Noto Sans" w:hAnsi="Noto Sans" w:cs="Noto Sans"/>
                <w:i/>
                <w:sz w:val="22"/>
                <w:szCs w:val="22"/>
              </w:rPr>
              <w:t>c)</w:t>
            </w:r>
            <w:r>
              <w:rPr>
                <w:rFonts w:hint="default" w:ascii="Noto Sans" w:hAnsi="Noto Sans" w:cs="Noto Sans"/>
                <w:sz w:val="22"/>
                <w:szCs w:val="22"/>
              </w:rPr>
              <w:t xml:space="preserve"> Por cada mes trabajado en cualquier otra Administración pública o ente del sector público instrumental en un puesto de categoría igual y especialidad igual o parecida al del puesto al que se opta: 0,07</w:t>
            </w:r>
            <w:r>
              <w:rPr>
                <w:rFonts w:hint="default" w:cs="Noto Sans"/>
                <w:sz w:val="22"/>
                <w:szCs w:val="22"/>
                <w:lang w:val="es-ES"/>
              </w:rPr>
              <w:t xml:space="preserve"> puntos</w:t>
            </w:r>
            <w:r>
              <w:rPr>
                <w:rFonts w:hint="default" w:ascii="Noto Sans" w:hAnsi="Noto Sans" w:cs="Noto Sans"/>
                <w:sz w:val="22"/>
                <w:szCs w:val="22"/>
              </w:rPr>
              <w:t>.</w:t>
            </w:r>
          </w:p>
          <w:p w14:paraId="3820A3AE">
            <w:pPr>
              <w:rPr>
                <w:rFonts w:hint="default" w:ascii="Noto Sans" w:hAnsi="Noto Sans" w:cs="Noto Sans"/>
                <w:sz w:val="22"/>
                <w:szCs w:val="22"/>
              </w:rPr>
            </w:pPr>
            <w:r>
              <w:rPr>
                <w:rFonts w:hint="default" w:ascii="Noto Sans" w:hAnsi="Noto Sans" w:cs="Noto Sans"/>
                <w:i/>
                <w:sz w:val="22"/>
                <w:szCs w:val="22"/>
              </w:rPr>
              <w:t>d)</w:t>
            </w:r>
            <w:r>
              <w:rPr>
                <w:rFonts w:hint="default" w:ascii="Noto Sans" w:hAnsi="Noto Sans" w:cs="Noto Sans"/>
                <w:sz w:val="22"/>
                <w:szCs w:val="22"/>
              </w:rPr>
              <w:t xml:space="preserve"> Por cada mes trabajado en la empresa privada, como personal laboral, con funciones análogas a las de la categoría profesional o especialidad a la que se opta: 0,05</w:t>
            </w:r>
            <w:r>
              <w:rPr>
                <w:rFonts w:hint="default" w:cs="Noto Sans"/>
                <w:sz w:val="22"/>
                <w:szCs w:val="22"/>
                <w:lang w:val="es-ES"/>
              </w:rPr>
              <w:t xml:space="preserve"> puntos</w:t>
            </w:r>
            <w:r>
              <w:rPr>
                <w:rFonts w:hint="default" w:ascii="Noto Sans" w:hAnsi="Noto Sans" w:cs="Noto Sans"/>
                <w:sz w:val="22"/>
                <w:szCs w:val="22"/>
              </w:rPr>
              <w:t>.</w:t>
            </w:r>
          </w:p>
          <w:p w14:paraId="36C117F7">
            <w:pPr>
              <w:rPr>
                <w:rFonts w:hint="default" w:ascii="Noto Sans" w:hAnsi="Noto Sans" w:cs="Noto Sans"/>
                <w:sz w:val="22"/>
                <w:szCs w:val="22"/>
              </w:rPr>
            </w:pPr>
            <w:r>
              <w:rPr>
                <w:rFonts w:hint="default" w:ascii="Noto Sans" w:hAnsi="Noto Sans" w:cs="Noto Sans"/>
                <w:i/>
                <w:sz w:val="22"/>
                <w:szCs w:val="22"/>
              </w:rPr>
              <w:t>e)</w:t>
            </w:r>
            <w:r>
              <w:rPr>
                <w:rFonts w:hint="default" w:ascii="Noto Sans" w:hAnsi="Noto Sans" w:cs="Noto Sans"/>
                <w:sz w:val="22"/>
                <w:szCs w:val="22"/>
              </w:rPr>
              <w:t xml:space="preserve"> Por cada mes trabajado como profesional autónomo en la especialidad a la que se opta: 0,03</w:t>
            </w:r>
            <w:r>
              <w:rPr>
                <w:rFonts w:hint="default" w:cs="Noto Sans"/>
                <w:sz w:val="22"/>
                <w:szCs w:val="22"/>
                <w:lang w:val="es-ES"/>
              </w:rPr>
              <w:t xml:space="preserve"> puntos</w:t>
            </w:r>
            <w:r>
              <w:rPr>
                <w:rFonts w:hint="default" w:ascii="Noto Sans" w:hAnsi="Noto Sans" w:cs="Noto Sans"/>
                <w:sz w:val="22"/>
                <w:szCs w:val="22"/>
              </w:rPr>
              <w:t>.</w:t>
            </w:r>
          </w:p>
          <w:p w14:paraId="3E5CC4D6">
            <w:pPr>
              <w:tabs>
                <w:tab w:val="left" w:pos="1866"/>
              </w:tabs>
              <w:rPr>
                <w:rFonts w:hint="default" w:ascii="Noto Sans" w:hAnsi="Noto Sans" w:cs="Noto Sans"/>
                <w:sz w:val="22"/>
                <w:szCs w:val="22"/>
                <w:lang w:val="ca-ES"/>
              </w:rPr>
            </w:pPr>
          </w:p>
          <w:p w14:paraId="11FAD896">
            <w:pPr>
              <w:tabs>
                <w:tab w:val="left" w:pos="1866"/>
              </w:tabs>
              <w:rPr>
                <w:rFonts w:hint="default" w:ascii="Noto Sans" w:hAnsi="Noto Sans" w:cs="Noto Sans"/>
                <w:sz w:val="22"/>
                <w:szCs w:val="22"/>
              </w:rPr>
            </w:pPr>
            <w:r>
              <w:rPr>
                <w:rFonts w:hint="default" w:ascii="Noto Sans" w:hAnsi="Noto Sans" w:cs="Noto Sans"/>
                <w:sz w:val="22"/>
                <w:szCs w:val="22"/>
              </w:rPr>
              <w:t>No se valorarán las fracciones inferiores al mes.</w:t>
            </w:r>
          </w:p>
          <w:p w14:paraId="5F500E40">
            <w:pPr>
              <w:widowControl w:val="0"/>
              <w:tabs>
                <w:tab w:val="left" w:pos="1866"/>
              </w:tabs>
              <w:rPr>
                <w:rFonts w:hint="default" w:ascii="Noto Sans" w:hAnsi="Noto Sans" w:cs="Noto Sans"/>
                <w:sz w:val="22"/>
                <w:szCs w:val="22"/>
                <w:u w:val="single"/>
              </w:rPr>
            </w:pPr>
          </w:p>
          <w:p w14:paraId="1C60C313">
            <w:pPr>
              <w:widowControl w:val="0"/>
              <w:tabs>
                <w:tab w:val="left" w:pos="1866"/>
              </w:tabs>
              <w:rPr>
                <w:rFonts w:hint="default" w:ascii="Noto Sans" w:hAnsi="Noto Sans" w:cs="Noto Sans"/>
                <w:b/>
                <w:bCs/>
                <w:sz w:val="22"/>
                <w:szCs w:val="22"/>
              </w:rPr>
            </w:pPr>
            <w:r>
              <w:rPr>
                <w:rFonts w:hint="default" w:ascii="Noto Sans" w:hAnsi="Noto Sans" w:cs="Noto Sans"/>
                <w:b/>
                <w:bCs/>
                <w:sz w:val="22"/>
                <w:szCs w:val="22"/>
              </w:rPr>
              <w:t>Puntuación máxima: 3 puntos.</w:t>
            </w:r>
          </w:p>
          <w:p w14:paraId="509A4B9B">
            <w:pPr>
              <w:widowControl w:val="0"/>
              <w:tabs>
                <w:tab w:val="left" w:pos="1866"/>
              </w:tabs>
              <w:rPr>
                <w:rFonts w:hint="default" w:ascii="Noto Sans" w:hAnsi="Noto Sans" w:cs="Noto Sans"/>
                <w:b/>
                <w:bCs/>
                <w:sz w:val="22"/>
                <w:szCs w:val="22"/>
              </w:rPr>
            </w:pPr>
          </w:p>
        </w:tc>
        <w:tc>
          <w:tcPr>
            <w:tcW w:w="1200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3A33EDAB">
            <w:pPr>
              <w:pStyle w:val="6"/>
              <w:snapToGrid w:val="0"/>
              <w:rPr>
                <w:rFonts w:hint="default" w:ascii="Noto Sans" w:hAnsi="Noto Sans" w:cs="Noto Sans"/>
                <w:sz w:val="22"/>
                <w:szCs w:val="22"/>
              </w:rPr>
            </w:pPr>
          </w:p>
        </w:tc>
      </w:tr>
      <w:tr w14:paraId="313E2A7F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trHeight w:val="2666" w:hRule="atLeast"/>
        </w:trPr>
        <w:tc>
          <w:tcPr>
            <w:tcW w:w="7988" w:type="dxa"/>
            <w:tcBorders>
              <w:left w:val="single" w:color="000000" w:sz="4" w:space="0"/>
              <w:bottom w:val="single" w:color="000000" w:sz="4" w:space="0"/>
            </w:tcBorders>
            <w:noWrap w:val="0"/>
            <w:vAlign w:val="top"/>
          </w:tcPr>
          <w:p w14:paraId="0463EED4">
            <w:pPr>
              <w:widowControl w:val="0"/>
              <w:tabs>
                <w:tab w:val="left" w:pos="1866"/>
              </w:tabs>
              <w:rPr>
                <w:rFonts w:hint="default" w:ascii="Noto Sans" w:hAnsi="Noto Sans" w:cs="Noto Sans"/>
                <w:sz w:val="22"/>
                <w:szCs w:val="22"/>
              </w:rPr>
            </w:pPr>
            <w:r>
              <w:rPr>
                <w:rFonts w:hint="default" w:ascii="Noto Sans" w:hAnsi="Noto Sans" w:cs="Noto Sans"/>
                <w:b/>
                <w:sz w:val="22"/>
                <w:szCs w:val="22"/>
                <w:u w:val="single"/>
              </w:rPr>
              <w:t>4. Antigüedad reconocida en las Administraciones públicas</w:t>
            </w:r>
          </w:p>
          <w:p w14:paraId="666537BA">
            <w:pPr>
              <w:widowControl w:val="0"/>
              <w:tabs>
                <w:tab w:val="left" w:pos="1866"/>
              </w:tabs>
              <w:rPr>
                <w:rFonts w:hint="default" w:ascii="Noto Sans" w:hAnsi="Noto Sans" w:cs="Noto Sans"/>
                <w:sz w:val="22"/>
                <w:szCs w:val="22"/>
              </w:rPr>
            </w:pPr>
          </w:p>
          <w:p w14:paraId="604E2C22">
            <w:pPr>
              <w:rPr>
                <w:rFonts w:hint="default" w:ascii="Noto Sans" w:hAnsi="Noto Sans" w:cs="Noto Sans"/>
                <w:sz w:val="22"/>
                <w:szCs w:val="22"/>
              </w:rPr>
            </w:pPr>
            <w:r>
              <w:rPr>
                <w:rFonts w:hint="default" w:ascii="Noto Sans" w:hAnsi="Noto Sans" w:cs="Noto Sans"/>
                <w:sz w:val="22"/>
                <w:szCs w:val="22"/>
              </w:rPr>
              <w:t>Se valorará la experiencia reconocida como personal funcionario o como personal laboral del sector público con 0,5 puntos por cada tres años de trabajo.</w:t>
            </w:r>
          </w:p>
          <w:p w14:paraId="3E86D5FA">
            <w:pPr>
              <w:rPr>
                <w:rFonts w:hint="default" w:ascii="Noto Sans" w:hAnsi="Noto Sans" w:eastAsia="Noto Sans" w:cs="Noto Sans"/>
                <w:sz w:val="22"/>
                <w:szCs w:val="22"/>
                <w:lang w:val="ca-ES" w:eastAsia="zh-CN" w:bidi="ar"/>
              </w:rPr>
            </w:pPr>
          </w:p>
          <w:p w14:paraId="2EEDBFF5">
            <w:pPr>
              <w:tabs>
                <w:tab w:val="left" w:pos="1866"/>
              </w:tabs>
              <w:rPr>
                <w:rFonts w:hint="default" w:ascii="Noto Sans" w:hAnsi="Noto Sans" w:cs="Noto Sans"/>
                <w:sz w:val="22"/>
                <w:szCs w:val="22"/>
              </w:rPr>
            </w:pPr>
            <w:r>
              <w:rPr>
                <w:rFonts w:hint="default" w:ascii="Noto Sans" w:hAnsi="Noto Sans" w:cs="Noto Sans"/>
                <w:sz w:val="22"/>
                <w:szCs w:val="22"/>
              </w:rPr>
              <w:t>No se valorarán las fracciones inferiores a los tres años.</w:t>
            </w:r>
          </w:p>
          <w:p w14:paraId="63FE0E92">
            <w:pPr>
              <w:widowControl w:val="0"/>
              <w:tabs>
                <w:tab w:val="left" w:pos="1866"/>
              </w:tabs>
              <w:rPr>
                <w:rFonts w:hint="default" w:ascii="Noto Sans" w:hAnsi="Noto Sans" w:cs="Noto Sans"/>
                <w:sz w:val="22"/>
                <w:szCs w:val="22"/>
              </w:rPr>
            </w:pPr>
          </w:p>
          <w:p w14:paraId="2E0AFA1D">
            <w:pPr>
              <w:widowControl w:val="0"/>
              <w:tabs>
                <w:tab w:val="left" w:pos="1866"/>
              </w:tabs>
              <w:rPr>
                <w:rFonts w:hint="default" w:ascii="Noto Sans" w:hAnsi="Noto Sans" w:cs="Noto Sans"/>
                <w:b/>
                <w:bCs/>
                <w:sz w:val="22"/>
                <w:szCs w:val="22"/>
              </w:rPr>
            </w:pPr>
            <w:r>
              <w:rPr>
                <w:rFonts w:hint="default" w:ascii="Noto Sans" w:hAnsi="Noto Sans" w:cs="Noto Sans"/>
                <w:b/>
                <w:bCs/>
                <w:sz w:val="22"/>
                <w:szCs w:val="22"/>
              </w:rPr>
              <w:t>Puntuación máxima: 2 puntos.</w:t>
            </w:r>
          </w:p>
          <w:p w14:paraId="041E3F36">
            <w:pPr>
              <w:widowControl w:val="0"/>
              <w:tabs>
                <w:tab w:val="left" w:pos="1866"/>
              </w:tabs>
              <w:rPr>
                <w:rFonts w:hint="default" w:ascii="Noto Sans" w:hAnsi="Noto Sans" w:cs="Noto Sans"/>
                <w:b/>
                <w:bCs/>
                <w:sz w:val="22"/>
                <w:szCs w:val="22"/>
              </w:rPr>
            </w:pPr>
          </w:p>
        </w:tc>
        <w:tc>
          <w:tcPr>
            <w:tcW w:w="1200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38988F32">
            <w:pPr>
              <w:pStyle w:val="6"/>
              <w:snapToGrid w:val="0"/>
              <w:rPr>
                <w:rFonts w:hint="default" w:ascii="Noto Sans" w:hAnsi="Noto Sans" w:cs="Noto Sans"/>
                <w:sz w:val="22"/>
                <w:szCs w:val="22"/>
              </w:rPr>
            </w:pPr>
          </w:p>
        </w:tc>
      </w:tr>
    </w:tbl>
    <w:p w14:paraId="54618267">
      <w:pPr>
        <w:widowControl w:val="0"/>
        <w:tabs>
          <w:tab w:val="left" w:pos="1866"/>
        </w:tabs>
        <w:rPr>
          <w:rFonts w:hint="default" w:ascii="Noto Sans" w:hAnsi="Noto Sans" w:cs="Noto Sans"/>
          <w:b/>
          <w:bCs/>
          <w:sz w:val="22"/>
          <w:szCs w:val="22"/>
          <w:u w:val="single"/>
        </w:rPr>
      </w:pPr>
    </w:p>
    <w:tbl>
      <w:tblPr>
        <w:tblStyle w:val="3"/>
        <w:tblW w:w="9179" w:type="dxa"/>
        <w:tblInd w:w="11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7981"/>
        <w:gridCol w:w="1198"/>
      </w:tblGrid>
      <w:tr w14:paraId="6D7D3BDD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trHeight w:val="3244" w:hRule="atLeast"/>
        </w:trPr>
        <w:tc>
          <w:tcPr>
            <w:tcW w:w="7981" w:type="dxa"/>
            <w:tcBorders>
              <w:left w:val="single" w:color="000000" w:sz="4" w:space="0"/>
              <w:bottom w:val="single" w:color="000000" w:sz="4" w:space="0"/>
            </w:tcBorders>
            <w:noWrap w:val="0"/>
            <w:vAlign w:val="top"/>
          </w:tcPr>
          <w:p w14:paraId="0ACB6F3D">
            <w:pPr>
              <w:widowControl w:val="0"/>
              <w:tabs>
                <w:tab w:val="left" w:pos="1866"/>
              </w:tabs>
              <w:rPr>
                <w:rFonts w:hint="default" w:ascii="Noto Sans" w:hAnsi="Noto Sans" w:cs="Noto Sans"/>
                <w:sz w:val="22"/>
                <w:szCs w:val="22"/>
              </w:rPr>
            </w:pPr>
            <w:r>
              <w:rPr>
                <w:rFonts w:hint="default" w:ascii="Noto Sans" w:hAnsi="Noto Sans" w:cs="Noto Sans"/>
                <w:b/>
                <w:sz w:val="22"/>
                <w:szCs w:val="22"/>
                <w:u w:val="single"/>
              </w:rPr>
              <w:t>5. Conocimientos de catalán.</w:t>
            </w:r>
            <w:r>
              <w:rPr>
                <w:rFonts w:hint="default" w:ascii="Noto Sans" w:hAnsi="Noto Sans" w:cs="Noto Sans"/>
                <w:sz w:val="22"/>
                <w:szCs w:val="22"/>
              </w:rPr>
              <w:t xml:space="preserve"> Solo se valorará el certificado de nivel más alto que se acredita, además del certificado de lenguaje administrativo, cuya puntuación se acumulará a la del otro certificado que se acredite.</w:t>
            </w:r>
          </w:p>
          <w:p w14:paraId="2796E417">
            <w:pPr>
              <w:rPr>
                <w:rFonts w:hint="default" w:ascii="Noto Sans" w:hAnsi="Noto Sans" w:eastAsia="Noto Sans" w:cs="Noto Sans"/>
                <w:sz w:val="22"/>
                <w:szCs w:val="22"/>
                <w:lang w:val="ca-ES" w:eastAsia="zh-CN" w:bidi="ar"/>
              </w:rPr>
            </w:pPr>
          </w:p>
          <w:p w14:paraId="45324135">
            <w:pPr>
              <w:widowControl w:val="0"/>
              <w:tabs>
                <w:tab w:val="left" w:pos="1866"/>
              </w:tabs>
              <w:rPr>
                <w:rFonts w:hint="default" w:ascii="Noto Sans" w:hAnsi="Noto Sans" w:cs="Noto Sans"/>
                <w:sz w:val="22"/>
                <w:szCs w:val="22"/>
              </w:rPr>
            </w:pPr>
            <w:r>
              <w:rPr>
                <w:rFonts w:hint="default" w:ascii="Noto Sans" w:hAnsi="Noto Sans" w:cs="Noto Sans"/>
                <w:sz w:val="22"/>
                <w:szCs w:val="22"/>
              </w:rPr>
              <w:t>En todos los casos, solo se valorarán los certificados de nivel superior al exigido como requisito de acceso, de acuerdo con la siguiente puntuación:</w:t>
            </w:r>
          </w:p>
          <w:p w14:paraId="7A663052">
            <w:pPr>
              <w:widowControl w:val="0"/>
              <w:tabs>
                <w:tab w:val="left" w:pos="1866"/>
              </w:tabs>
              <w:rPr>
                <w:rFonts w:hint="default" w:ascii="Noto Sans" w:hAnsi="Noto Sans" w:cs="Noto Sans"/>
                <w:sz w:val="22"/>
                <w:szCs w:val="22"/>
              </w:rPr>
            </w:pPr>
          </w:p>
          <w:p w14:paraId="2960FA4F">
            <w:pPr>
              <w:rPr>
                <w:rFonts w:hint="default" w:ascii="Noto Sans" w:hAnsi="Noto Sans" w:cs="Noto Sans"/>
                <w:sz w:val="22"/>
                <w:szCs w:val="22"/>
              </w:rPr>
            </w:pPr>
            <w:r>
              <w:rPr>
                <w:rFonts w:hint="default" w:ascii="Noto Sans" w:hAnsi="Noto Sans" w:cs="Noto Sans"/>
                <w:sz w:val="22"/>
                <w:szCs w:val="22"/>
              </w:rPr>
              <w:t>- Por un certificado de un nivel superior al requerido (C1 o C2): 0,7 puntos.</w:t>
            </w:r>
          </w:p>
          <w:p w14:paraId="60BA28F7">
            <w:pPr>
              <w:tabs>
                <w:tab w:val="left" w:pos="1866"/>
              </w:tabs>
              <w:rPr>
                <w:rFonts w:hint="default" w:ascii="Noto Sans" w:hAnsi="Noto Sans" w:cs="Noto Sans"/>
                <w:sz w:val="22"/>
                <w:szCs w:val="22"/>
              </w:rPr>
            </w:pPr>
            <w:r>
              <w:rPr>
                <w:rFonts w:hint="default" w:ascii="Noto Sans" w:hAnsi="Noto Sans" w:cs="Noto Sans"/>
                <w:sz w:val="22"/>
                <w:szCs w:val="22"/>
              </w:rPr>
              <w:t>- Por un certificado de lenguaje administrativo: 0,3 puntos.</w:t>
            </w:r>
          </w:p>
          <w:p w14:paraId="0FBB717B">
            <w:pPr>
              <w:tabs>
                <w:tab w:val="left" w:pos="1866"/>
              </w:tabs>
              <w:rPr>
                <w:rFonts w:hint="default" w:ascii="Noto Sans" w:hAnsi="Noto Sans" w:cs="Noto Sans"/>
                <w:sz w:val="22"/>
                <w:szCs w:val="22"/>
              </w:rPr>
            </w:pPr>
          </w:p>
          <w:p w14:paraId="284A4F1D">
            <w:pPr>
              <w:widowControl w:val="0"/>
              <w:tabs>
                <w:tab w:val="left" w:pos="1866"/>
              </w:tabs>
              <w:rPr>
                <w:rFonts w:hint="default" w:ascii="Noto Sans" w:hAnsi="Noto Sans" w:cs="Noto Sans"/>
                <w:sz w:val="22"/>
                <w:szCs w:val="22"/>
              </w:rPr>
            </w:pPr>
            <w:r>
              <w:rPr>
                <w:rFonts w:hint="default" w:ascii="Noto Sans" w:hAnsi="Noto Sans" w:cs="Noto Sans"/>
                <w:b/>
                <w:sz w:val="22"/>
                <w:szCs w:val="22"/>
              </w:rPr>
              <w:t>Puntuación máxima: 1 punto.</w:t>
            </w:r>
          </w:p>
        </w:tc>
        <w:tc>
          <w:tcPr>
            <w:tcW w:w="1198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387D32CF">
            <w:pPr>
              <w:pStyle w:val="6"/>
              <w:snapToGrid w:val="0"/>
              <w:rPr>
                <w:rFonts w:hint="default" w:ascii="Noto Sans" w:hAnsi="Noto Sans" w:cs="Noto Sans"/>
                <w:sz w:val="22"/>
                <w:szCs w:val="22"/>
              </w:rPr>
            </w:pPr>
          </w:p>
        </w:tc>
      </w:tr>
    </w:tbl>
    <w:p w14:paraId="1EDB94FC">
      <w:pPr>
        <w:spacing w:after="120"/>
        <w:rPr>
          <w:rFonts w:hint="default" w:ascii="Noto Sans" w:hAnsi="Noto Sans" w:eastAsia="Noto Sans" w:cs="Noto Sans"/>
          <w:b/>
          <w:sz w:val="22"/>
          <w:szCs w:val="22"/>
          <w:lang w:val="ca-ES" w:eastAsia="zh-CN" w:bidi="ar"/>
        </w:rPr>
      </w:pPr>
    </w:p>
    <w:p w14:paraId="6E84CBA0">
      <w:pPr>
        <w:rPr>
          <w:rFonts w:hint="default" w:eastAsia="Noto Sans" w:cs="Noto Sans"/>
          <w:b/>
          <w:bCs/>
          <w:color w:val="000000"/>
          <w:kern w:val="0"/>
          <w:sz w:val="22"/>
          <w:szCs w:val="22"/>
          <w:lang w:val="ca-ES" w:eastAsia="zh-CN" w:bidi="ar"/>
        </w:rPr>
      </w:pPr>
    </w:p>
    <w:sectPr>
      <w:headerReference r:id="rId3" w:type="default"/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Noto Sans">
    <w:panose1 w:val="020B0502040504020204"/>
    <w:charset w:val="00"/>
    <w:family w:val="swiss"/>
    <w:pitch w:val="default"/>
    <w:sig w:usb0="E00002FF" w:usb1="4000001F" w:usb2="08000029" w:usb3="00100000" w:csb0="00000000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E84FC81">
    <w:pPr>
      <w:pStyle w:val="4"/>
      <w:rPr>
        <w:b/>
        <w:bCs/>
      </w:rPr>
    </w:pPr>
    <w: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-504825</wp:posOffset>
          </wp:positionH>
          <wp:positionV relativeFrom="paragraph">
            <wp:posOffset>-155575</wp:posOffset>
          </wp:positionV>
          <wp:extent cx="2582545" cy="598805"/>
          <wp:effectExtent l="0" t="0" r="8255" b="10795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/>
                  <pic:cNvPicPr>
                    <a:picLocks noChangeAspect="1"/>
                  </pic:cNvPicPr>
                </pic:nvPicPr>
                <pic:blipFill>
                  <a:blip r:embed="rId1"/>
                  <a:srcRect l="-513" t="-2182" r="-513" b="-2182"/>
                  <a:stretch>
                    <a:fillRect/>
                  </a:stretch>
                </pic:blipFill>
                <pic:spPr>
                  <a:xfrm>
                    <a:off x="0" y="0"/>
                    <a:ext cx="2582545" cy="598805"/>
                  </a:xfrm>
                  <a:prstGeom prst="rect">
                    <a:avLst/>
                  </a:prstGeom>
                  <a:solidFill>
                    <a:srgbClr val="FFFFFF">
                      <a:alpha val="0"/>
                    </a:srgbClr>
                  </a:solidFill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708"/>
  <w:drawingGridVerticalSpacing w:val="156"/>
  <w:displayHorizontalDrawingGridEvery w:val="0"/>
  <w:displayVerticalDrawingGridEvery w:val="2"/>
  <w:characterSpacingControl w:val="doNotCompress"/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4D71D77"/>
    <w:rsid w:val="02062ECD"/>
    <w:rsid w:val="24D71D77"/>
    <w:rsid w:val="2F3C0695"/>
    <w:rsid w:val="2FD93956"/>
    <w:rsid w:val="424E4D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7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7"/>
    <w:pPr>
      <w:widowControl/>
      <w:suppressAutoHyphens/>
      <w:bidi w:val="0"/>
    </w:pPr>
    <w:rPr>
      <w:rFonts w:ascii="Noto Sans" w:hAnsi="Noto Sans" w:eastAsia="Calibri" w:cs="Times New Roman"/>
      <w:color w:val="000000"/>
      <w:sz w:val="22"/>
      <w:szCs w:val="22"/>
      <w:lang w:val="ca-ES" w:eastAsia="en-US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header"/>
    <w:basedOn w:val="1"/>
    <w:qFormat/>
    <w:uiPriority w:val="0"/>
    <w:pPr>
      <w:tabs>
        <w:tab w:val="center" w:pos="4153"/>
        <w:tab w:val="right" w:pos="8306"/>
      </w:tabs>
    </w:p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</w:pPr>
  </w:style>
  <w:style w:type="paragraph" w:customStyle="1" w:styleId="6">
    <w:name w:val="Contenido de la tabla"/>
    <w:basedOn w:val="1"/>
    <w:qFormat/>
    <w:uiPriority w:val="6"/>
    <w:pPr>
      <w:suppressLineNumbers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519</Words>
  <Characters>2799</Characters>
  <Lines>0</Lines>
  <Paragraphs>0</Paragraphs>
  <TotalTime>1</TotalTime>
  <ScaleCrop>false</ScaleCrop>
  <LinksUpToDate>false</LinksUpToDate>
  <CharactersWithSpaces>3285</CharactersWithSpaces>
  <Application>WPS Office_12.1.0.26372_F1E327BC-269C-435d-A152-05C5408002CA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2025-11-26T14:07:00Z</dcterms:created>
  <dc:creator>WPS_1707117178</dc:creator>
  <cp:lastModifiedBy>WPS_1707117178</cp:lastModifiedBy>
  <dcterms:modified xsi:type="dcterms:W3CDTF">2026-05-20T05:52:04Z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3082-12.1.0.26372</vt:lpwstr>
  </property>
  <property fmtid="{D5CDD505-2E9C-101B-9397-08002B2CF9AE}" pid="3" name="ICV">
    <vt:lpwstr>CD1FCDBBD91F4880B35F0829546A1C8F_13</vt:lpwstr>
  </property>
  <property fmtid="{D5CDD505-2E9C-101B-9397-08002B2CF9AE}" pid="4" name="KSOTemplateDocerSaveRecord">
    <vt:lpwstr>eyJoZGlkIjoiYWJkMjNjODcxYTViNzc5ZDUyZmNmOWY1YTlhMDIwNTkiLCJ1c2VySWQiOiIxODA0Mzk2ODg5MDI0In0=</vt:lpwstr>
  </property>
</Properties>
</file>