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648D1">
      <w:pPr>
        <w:pageBreakBefore/>
        <w:widowControl/>
        <w:kinsoku/>
        <w:overflowPunct/>
        <w:autoSpaceDE/>
        <w:bidi w:val="0"/>
        <w:snapToGrid/>
        <w:spacing w:line="240" w:lineRule="auto"/>
        <w:textAlignment w:val="auto"/>
      </w:pPr>
      <w:r>
        <w:rPr>
          <w:rFonts w:hint="default" w:eastAsia="Noto Sans" w:cs="Noto Sans"/>
          <w:b/>
          <w:bCs/>
          <w:color w:val="000000"/>
          <w:kern w:val="0"/>
          <w:sz w:val="22"/>
          <w:szCs w:val="22"/>
          <w:lang w:val="ca-ES" w:eastAsia="zh-CN" w:bidi="ar"/>
        </w:rPr>
        <w:t>Full d’autobarem</w:t>
      </w:r>
    </w:p>
    <w:p w14:paraId="695268B0">
      <w:pPr>
        <w:widowControl/>
        <w:kinsoku/>
        <w:overflowPunct/>
        <w:autoSpaceDE/>
        <w:bidi w:val="0"/>
        <w:snapToGrid/>
        <w:spacing w:line="240" w:lineRule="auto"/>
        <w:textAlignment w:val="auto"/>
        <w:rPr>
          <w:rFonts w:hint="default" w:ascii="Noto Sans" w:hAnsi="Noto Sans" w:cs="Noto Sans"/>
          <w:b/>
          <w:bCs w:val="0"/>
          <w:color w:val="000000"/>
          <w:sz w:val="22"/>
          <w:szCs w:val="22"/>
          <w:lang w:val="ca-ES"/>
        </w:rPr>
      </w:pPr>
    </w:p>
    <w:tbl>
      <w:tblPr>
        <w:tblStyle w:val="3"/>
        <w:tblW w:w="0" w:type="auto"/>
        <w:tblInd w:w="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7988"/>
        <w:gridCol w:w="1200"/>
      </w:tblGrid>
      <w:tr w14:paraId="4E839B07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c>
          <w:tcPr>
            <w:tcW w:w="7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383FD13">
            <w:pPr>
              <w:widowControl w:val="0"/>
              <w:suppressAutoHyphens/>
              <w:spacing w:before="0" w:after="12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 w:val="0"/>
                <w:color w:val="000000"/>
                <w:sz w:val="22"/>
                <w:szCs w:val="22"/>
                <w:lang w:val="ca-ES"/>
              </w:rPr>
              <w:t>NOM i LLINATGES:</w:t>
            </w:r>
          </w:p>
          <w:p w14:paraId="086F0B4C">
            <w:pPr>
              <w:widowControl w:val="0"/>
              <w:numPr>
                <w:ilvl w:val="0"/>
                <w:numId w:val="0"/>
              </w:numPr>
              <w:suppressAutoHyphens/>
              <w:spacing w:before="0" w:after="12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 w:val="0"/>
                <w:color w:val="000000"/>
                <w:sz w:val="22"/>
                <w:szCs w:val="22"/>
                <w:lang w:val="ca-ES"/>
              </w:rPr>
              <w:t xml:space="preserve">NIF/NIE: 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26063D5">
            <w:pPr>
              <w:pStyle w:val="6"/>
              <w:jc w:val="left"/>
              <w:rPr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TOTAL PUNTS</w:t>
            </w:r>
          </w:p>
        </w:tc>
      </w:tr>
      <w:tr w14:paraId="7936C60C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c>
          <w:tcPr>
            <w:tcW w:w="7988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271609C">
            <w:pPr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/>
                <w:color w:val="000000"/>
                <w:sz w:val="22"/>
                <w:szCs w:val="22"/>
                <w:u w:val="single"/>
                <w:lang w:val="ca-ES"/>
              </w:rPr>
              <w:t>1. Titulacions acadèmiques.</w:t>
            </w: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lang w:val="ca-ES"/>
              </w:rPr>
              <w:t xml:space="preserve"> </w:t>
            </w:r>
            <w:r>
              <w:rPr>
                <w:rFonts w:hint="default" w:ascii="Noto Sans" w:hAnsi="Noto Sans" w:eastAsia="Noto Sans" w:cs="Noto Sans"/>
                <w:b w:val="0"/>
                <w:bCs w:val="0"/>
                <w:color w:val="000000"/>
                <w:kern w:val="0"/>
                <w:sz w:val="22"/>
                <w:szCs w:val="22"/>
                <w:u w:val="none"/>
                <w:lang w:val="ca-ES" w:eastAsia="zh-CN" w:bidi="ar"/>
              </w:rPr>
              <w:t>Només s’han de valorar les titulacions acadèmiques oficials i reconegudes pel Ministeri d’Educació, d’acord amb els criteris prevists a l’annex 5 de la convocatòria.</w:t>
            </w:r>
          </w:p>
          <w:p w14:paraId="407AEB81">
            <w:pPr>
              <w:rPr>
                <w:sz w:val="22"/>
                <w:szCs w:val="22"/>
              </w:rPr>
            </w:pPr>
          </w:p>
          <w:p w14:paraId="2DB8A79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overflowPunct/>
              <w:autoSpaceDE/>
              <w:bidi w:val="0"/>
              <w:snapToGrid/>
              <w:spacing w:line="240" w:lineRule="auto"/>
              <w:ind w:left="0" w:right="0" w:firstLine="0"/>
              <w:textAlignment w:val="auto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shd w:val="clear" w:color="auto" w:fill="auto"/>
                <w:lang w:val="ca-ES"/>
              </w:rPr>
              <w:t>-</w:t>
            </w:r>
            <w:r>
              <w:rPr>
                <w:rFonts w:hint="default" w:ascii="Noto Sans" w:hAnsi="Noto Sans"/>
                <w:b w:val="0"/>
                <w:bCs w:val="0"/>
                <w:sz w:val="22"/>
                <w:szCs w:val="22"/>
                <w:lang w:val="ca-ES"/>
              </w:rPr>
              <w:t>Per cada títol de grau o equivalent: 1 punt</w:t>
            </w:r>
          </w:p>
          <w:p w14:paraId="6225017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overflowPunct/>
              <w:autoSpaceDE/>
              <w:bidi w:val="0"/>
              <w:snapToGrid/>
              <w:spacing w:line="240" w:lineRule="auto"/>
              <w:ind w:left="0" w:right="0" w:firstLine="0"/>
              <w:textAlignment w:val="auto"/>
              <w:rPr>
                <w:sz w:val="22"/>
                <w:szCs w:val="22"/>
              </w:rPr>
            </w:pPr>
            <w:r>
              <w:rPr>
                <w:rFonts w:hint="default" w:ascii="Noto Sans" w:hAnsi="Noto Sans"/>
                <w:b w:val="0"/>
                <w:bCs w:val="0"/>
                <w:sz w:val="22"/>
                <w:szCs w:val="22"/>
                <w:lang w:val="ca-ES"/>
              </w:rPr>
              <w:t>-Per cada títol oficial de màster: 1 punt</w:t>
            </w:r>
          </w:p>
          <w:p w14:paraId="48A2D22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overflowPunct/>
              <w:autoSpaceDE/>
              <w:bidi w:val="0"/>
              <w:snapToGrid/>
              <w:spacing w:line="240" w:lineRule="auto"/>
              <w:ind w:left="0" w:right="0" w:firstLine="0"/>
              <w:textAlignment w:val="auto"/>
              <w:rPr>
                <w:sz w:val="22"/>
                <w:szCs w:val="22"/>
              </w:rPr>
            </w:pPr>
            <w:r>
              <w:rPr>
                <w:rFonts w:hint="default" w:ascii="Noto Sans" w:hAnsi="Noto Sans"/>
                <w:b w:val="0"/>
                <w:bCs w:val="0"/>
                <w:sz w:val="22"/>
                <w:szCs w:val="22"/>
                <w:lang w:val="ca-ES"/>
              </w:rPr>
              <w:t>-Títol de tècnic superior de formació professional reconegut com a nivell MECES 1 o equivalent acadèmic: 1 punt</w:t>
            </w:r>
          </w:p>
          <w:p w14:paraId="7A2010A9"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overflowPunct/>
              <w:autoSpaceDE/>
              <w:bidi w:val="0"/>
              <w:snapToGrid/>
              <w:spacing w:line="240" w:lineRule="auto"/>
              <w:ind w:left="0" w:right="0" w:firstLine="0"/>
              <w:textAlignment w:val="auto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shd w:val="clear" w:color="auto" w:fill="auto"/>
                <w:lang w:val="ca-ES"/>
              </w:rPr>
              <w:t>-Títol de batxillerat o de tècnic de formació professional o equivalent acadèmic: 1 punt.</w:t>
            </w:r>
          </w:p>
          <w:p w14:paraId="088F8796">
            <w:pPr>
              <w:jc w:val="both"/>
              <w:rPr>
                <w:sz w:val="22"/>
                <w:szCs w:val="22"/>
              </w:rPr>
            </w:pPr>
          </w:p>
          <w:p w14:paraId="7DD99980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/>
                <w:color w:val="000000"/>
                <w:sz w:val="22"/>
                <w:szCs w:val="22"/>
                <w:u w:val="none"/>
                <w:lang w:val="ca-ES"/>
              </w:rPr>
              <w:t>Puntuació màxima 2 punts</w:t>
            </w: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lang w:val="ca-ES"/>
              </w:rPr>
              <w:t>.</w:t>
            </w:r>
          </w:p>
          <w:p w14:paraId="476D342B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  <w:p w14:paraId="7C7E743B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B007618">
            <w:pPr>
              <w:pStyle w:val="6"/>
              <w:snapToGrid w:val="0"/>
              <w:jc w:val="left"/>
              <w:rPr>
                <w:sz w:val="22"/>
                <w:szCs w:val="22"/>
              </w:rPr>
            </w:pPr>
          </w:p>
        </w:tc>
      </w:tr>
      <w:tr w14:paraId="46033AA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7683" w:hRule="atLeast"/>
        </w:trPr>
        <w:tc>
          <w:tcPr>
            <w:tcW w:w="7988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5DB2B659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b/>
                <w:bCs/>
                <w:color w:val="000000"/>
                <w:kern w:val="0"/>
                <w:sz w:val="22"/>
                <w:szCs w:val="22"/>
                <w:u w:val="single"/>
                <w:lang w:val="ca-ES" w:eastAsia="zh-CN" w:bidi="ar"/>
              </w:rPr>
              <w:t>2. Formació i perfeccionament.</w:t>
            </w:r>
            <w:r>
              <w:rPr>
                <w:rFonts w:hint="default" w:ascii="Noto Sans" w:hAnsi="Noto Sans" w:eastAsia="Noto Sans" w:cs="Noto Sans"/>
                <w:b/>
                <w:bCs/>
                <w:color w:val="000000"/>
                <w:kern w:val="0"/>
                <w:sz w:val="22"/>
                <w:szCs w:val="22"/>
                <w:u w:val="none"/>
                <w:lang w:val="ca-ES" w:eastAsia="zh-CN" w:bidi="ar"/>
              </w:rPr>
              <w:t xml:space="preserve"> 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Només s’han de valorar els cursos que versin sobre matèries directament relacionades amb les tasques pròpies del FOGAIBA. </w:t>
            </w:r>
          </w:p>
          <w:p w14:paraId="3B392F4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</w:pPr>
          </w:p>
          <w:p w14:paraId="2BA9B2D0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Es valoren tots els cursos de formació certificats amb aprofitament o assistència, </w:t>
            </w:r>
          </w:p>
          <w:p w14:paraId="4E4E5A29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impartits o promoguts per qualsevol administració pública de base territorial, </w:t>
            </w:r>
          </w:p>
          <w:p w14:paraId="34DB1265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escoles d’administració pública, ens del sector públic instrumental de la CAIB, i Fundació Tripartita, FUNDAE i universitats.</w:t>
            </w:r>
          </w:p>
          <w:p w14:paraId="334DA669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</w:t>
            </w:r>
          </w:p>
          <w:p w14:paraId="2E53A7B2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També es valoren en aquest apartat els cursos de formació homologats per </w:t>
            </w:r>
          </w:p>
          <w:p w14:paraId="4A5C7A89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les escoles d’administració pública i els cursos impartits per les organitzacions </w:t>
            </w:r>
          </w:p>
          <w:p w14:paraId="5A937BC2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sindicals en el marc dels acords de formació contínua amb l’Administració. </w:t>
            </w:r>
          </w:p>
          <w:p w14:paraId="2F47C24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</w:pPr>
          </w:p>
          <w:p w14:paraId="4B3078D0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Els cursos s’han de valorar d’acord amb la puntuació següent:</w:t>
            </w:r>
          </w:p>
          <w:p w14:paraId="026F256E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- Cursos amb certificat d’aprofitament o impartits: 0,02 punts per hora. </w:t>
            </w:r>
          </w:p>
          <w:p w14:paraId="088D0703">
            <w:pPr>
              <w:keepNext w:val="0"/>
              <w:keepLines w:val="0"/>
              <w:widowControl/>
              <w:suppressLineNumbers w:val="0"/>
              <w:tabs>
                <w:tab w:val="left" w:pos="1866"/>
              </w:tabs>
              <w:suppressAutoHyphens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u w:val="none"/>
                <w:lang w:val="ca-ES" w:eastAsia="zh-CN" w:bidi="ar"/>
              </w:rPr>
              <w:t>- Cursos amb certificat d’assistència: 0,01 punts per hora.</w:t>
            </w:r>
          </w:p>
          <w:p w14:paraId="19F1F775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  <w:p w14:paraId="04637559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/>
                <w:color w:val="000000"/>
                <w:sz w:val="22"/>
                <w:szCs w:val="22"/>
                <w:u w:val="none"/>
                <w:lang w:val="ca-ES"/>
              </w:rPr>
              <w:t>Puntuació màxima 2 punts</w:t>
            </w: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lang w:val="ca-ES"/>
              </w:rPr>
              <w:t>.</w:t>
            </w:r>
          </w:p>
          <w:p w14:paraId="34D4D741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04017B0">
            <w:pPr>
              <w:pStyle w:val="6"/>
              <w:snapToGrid w:val="0"/>
              <w:jc w:val="left"/>
              <w:rPr>
                <w:sz w:val="22"/>
                <w:szCs w:val="22"/>
              </w:rPr>
            </w:pPr>
          </w:p>
        </w:tc>
      </w:tr>
      <w:tr w14:paraId="14ACBFE0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7014" w:hRule="atLeast"/>
        </w:trPr>
        <w:tc>
          <w:tcPr>
            <w:tcW w:w="7988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0FF732DF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u w:val="single"/>
                <w:lang w:val="ca-ES" w:eastAsia="zh-CN" w:bidi="ar-SA"/>
              </w:rPr>
              <w:t>3. Experiència professional</w:t>
            </w:r>
          </w:p>
          <w:p w14:paraId="76EE2620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  <w:p w14:paraId="7CAC407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overflowPunct/>
              <w:autoSpaceDE/>
              <w:bidi w:val="0"/>
              <w:snapToGrid/>
              <w:spacing w:line="240" w:lineRule="auto"/>
              <w:ind w:left="0" w:right="0" w:firstLine="0"/>
              <w:textAlignment w:val="auto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Es valora el temps de serveis prestats amb funcions de igual o similar categoria:</w:t>
            </w:r>
          </w:p>
          <w:p w14:paraId="2192C45B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i/>
                <w:iCs/>
                <w:color w:val="000000"/>
                <w:kern w:val="0"/>
                <w:sz w:val="22"/>
                <w:szCs w:val="22"/>
                <w:lang w:val="ca-ES" w:eastAsia="zh-CN" w:bidi="ar"/>
              </w:rPr>
              <w:t>a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.Per cada mes treballat al FOGAIBA en la mateixa categoria professional i especialitat, si escau, a la qual s’opta: 0,1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>5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punts</w:t>
            </w:r>
            <w:r>
              <w:rPr>
                <w:rFonts w:hint="default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 xml:space="preserve">. 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</w:t>
            </w:r>
          </w:p>
          <w:p w14:paraId="286D093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right="0" w:firstLine="0"/>
              <w:jc w:val="left"/>
              <w:rPr>
                <w:rFonts w:hint="default"/>
                <w:sz w:val="22"/>
                <w:szCs w:val="22"/>
                <w:lang w:val="es-ES"/>
              </w:rPr>
            </w:pPr>
            <w:r>
              <w:rPr>
                <w:rFonts w:hint="default" w:ascii="Noto Sans" w:hAnsi="Noto Sans" w:eastAsia="Noto Sans" w:cs="Noto Sans"/>
                <w:i/>
                <w:iCs/>
                <w:color w:val="000000"/>
                <w:kern w:val="0"/>
                <w:sz w:val="22"/>
                <w:szCs w:val="22"/>
                <w:lang w:val="ca-ES" w:eastAsia="zh-CN" w:bidi="ar"/>
              </w:rPr>
              <w:t>b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. 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ca-ES" w:eastAsia="zh-CN" w:bidi="ar"/>
              </w:rPr>
              <w:t>Per cada mes treballat al FOGAIBA en una categoria professional inferior, si escau, a la qual s’opta: 0,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es-ES" w:eastAsia="zh-CN" w:bidi="ar"/>
              </w:rPr>
              <w:t>10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ca-ES" w:eastAsia="zh-CN" w:bidi="ar"/>
              </w:rPr>
              <w:t xml:space="preserve"> punts</w:t>
            </w:r>
            <w:r>
              <w:rPr>
                <w:rFonts w:hint="default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es-ES" w:eastAsia="zh-CN" w:bidi="ar"/>
              </w:rPr>
              <w:t>.</w:t>
            </w:r>
          </w:p>
          <w:p w14:paraId="1E9D8EB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i/>
                <w:iCs/>
                <w:color w:val="000000"/>
                <w:kern w:val="0"/>
                <w:sz w:val="22"/>
                <w:szCs w:val="22"/>
                <w:lang w:val="ca-ES" w:eastAsia="zh-CN" w:bidi="ar"/>
              </w:rPr>
              <w:t>c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 Per cada mes treballat a qualsevol altre administració pública o ens dels sector públic instrumental a un lloc de categoria igual i especialitat igual o semblant, al del lloc al qual s’opta: 0,0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>7</w:t>
            </w:r>
            <w:r>
              <w:rPr>
                <w:rFonts w:hint="default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 xml:space="preserve"> punts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</w:t>
            </w:r>
          </w:p>
          <w:p w14:paraId="23692F6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i/>
                <w:iCs/>
                <w:color w:val="000000"/>
                <w:kern w:val="0"/>
                <w:sz w:val="22"/>
                <w:szCs w:val="22"/>
                <w:lang w:val="ca-ES" w:eastAsia="zh-CN" w:bidi="ar"/>
              </w:rPr>
              <w:t>d.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Per cada mes treballat a l’empresa privada, com a personal laboral, amb funcions anàlogues a les de la categoria professional o especialitat a la qual s’opta: 0,0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>5</w:t>
            </w:r>
            <w:r>
              <w:rPr>
                <w:rFonts w:hint="default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 xml:space="preserve"> punts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</w:t>
            </w:r>
          </w:p>
          <w:p w14:paraId="25A4E93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i/>
                <w:iCs/>
                <w:color w:val="000000"/>
                <w:kern w:val="0"/>
                <w:sz w:val="22"/>
                <w:szCs w:val="22"/>
                <w:lang w:val="ca-ES" w:eastAsia="zh-CN" w:bidi="ar"/>
              </w:rPr>
              <w:t>d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 Per cada mes treballat com a professional autònom en l’especialitat a la qual s’opta: 0,0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>3</w:t>
            </w:r>
            <w:r>
              <w:rPr>
                <w:rFonts w:hint="default" w:eastAsia="Noto Sans" w:cs="Noto Sans"/>
                <w:color w:val="000000"/>
                <w:kern w:val="0"/>
                <w:sz w:val="22"/>
                <w:szCs w:val="22"/>
                <w:lang w:val="es-ES" w:eastAsia="zh-CN" w:bidi="ar"/>
              </w:rPr>
              <w:t xml:space="preserve"> punts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.</w:t>
            </w:r>
          </w:p>
          <w:p w14:paraId="5485566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tabs>
                <w:tab w:val="left" w:pos="1866"/>
              </w:tabs>
              <w:suppressAutoHyphens/>
              <w:ind w:left="0" w:right="0" w:firstLine="0"/>
              <w:jc w:val="left"/>
              <w:rPr>
                <w:rFonts w:hint="default" w:ascii="Noto Sans" w:hAnsi="Noto Sans"/>
                <w:sz w:val="22"/>
                <w:szCs w:val="22"/>
                <w:lang w:val="ca-ES"/>
              </w:rPr>
            </w:pPr>
          </w:p>
          <w:p w14:paraId="4EC0D7C7">
            <w:pPr>
              <w:widowControl/>
              <w:numPr>
                <w:ilvl w:val="0"/>
                <w:numId w:val="0"/>
              </w:numPr>
              <w:suppressLineNumbers w:val="0"/>
              <w:tabs>
                <w:tab w:val="left" w:pos="1866"/>
              </w:tabs>
              <w:suppressAutoHyphens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sz w:val="22"/>
                <w:szCs w:val="22"/>
                <w:u w:val="none"/>
                <w:lang w:val="ca-ES"/>
              </w:rPr>
              <w:t>No es valoren les fraccions inferiors al mes.</w:t>
            </w:r>
          </w:p>
          <w:p w14:paraId="0F316902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  <w:u w:val="single"/>
              </w:rPr>
            </w:pPr>
          </w:p>
          <w:p w14:paraId="4E13E428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/>
                <w:color w:val="000000"/>
                <w:sz w:val="22"/>
                <w:szCs w:val="22"/>
                <w:u w:val="none"/>
                <w:lang w:val="ca-ES"/>
              </w:rPr>
              <w:t>Puntuació màxima 3 punts</w:t>
            </w: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lang w:val="ca-ES"/>
              </w:rPr>
              <w:t>.</w:t>
            </w:r>
          </w:p>
          <w:p w14:paraId="23E02B60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24E8467">
            <w:pPr>
              <w:pStyle w:val="6"/>
              <w:snapToGrid w:val="0"/>
              <w:jc w:val="left"/>
              <w:rPr>
                <w:rFonts w:ascii="Noto Sans" w:hAnsi="Noto Sans" w:cs="Noto Sans"/>
                <w:sz w:val="22"/>
                <w:szCs w:val="22"/>
                <w:u w:val="none"/>
              </w:rPr>
            </w:pPr>
          </w:p>
        </w:tc>
      </w:tr>
      <w:tr w14:paraId="25DCFC4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c>
          <w:tcPr>
            <w:tcW w:w="7988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7E4C786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u w:val="single"/>
                <w:lang w:val="ca-ES" w:eastAsia="zh-CN" w:bidi="ar-SA"/>
              </w:rPr>
              <w:t>4. Antiguitat reconeguda a les administracions públiques</w:t>
            </w:r>
          </w:p>
          <w:p w14:paraId="41A11D6B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  <w:p w14:paraId="02069DC0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Es valora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l’experiència </w:t>
            </w:r>
            <w:r>
              <w:rPr>
                <w:rFonts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reconegu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>da</w:t>
            </w:r>
            <w:r>
              <w:rPr>
                <w:rFonts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 com a personal funcionari o com a personal 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  <w:t xml:space="preserve">laboral del sector públic amb 0,5 punts per cada tres anys de treball. </w:t>
            </w:r>
          </w:p>
          <w:p w14:paraId="3B08C22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lang w:val="ca-ES" w:eastAsia="zh-CN" w:bidi="ar"/>
              </w:rPr>
            </w:pPr>
          </w:p>
          <w:p w14:paraId="3A7760A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tabs>
                <w:tab w:val="left" w:pos="1866"/>
              </w:tabs>
              <w:suppressAutoHyphens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sz w:val="22"/>
                <w:szCs w:val="22"/>
                <w:u w:val="none"/>
                <w:lang w:val="ca-ES"/>
              </w:rPr>
              <w:t>No es valoren les fraccions inferiors als tres anys.</w:t>
            </w:r>
          </w:p>
          <w:p w14:paraId="55EB4CA1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  <w:p w14:paraId="0EAE2326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cs="Noto Sans"/>
                <w:b/>
                <w:bCs/>
                <w:color w:val="000000"/>
                <w:sz w:val="22"/>
                <w:szCs w:val="22"/>
                <w:u w:val="none"/>
                <w:lang w:val="ca-ES"/>
              </w:rPr>
              <w:t>Puntuació màxima 2 punts</w:t>
            </w:r>
            <w:r>
              <w:rPr>
                <w:rFonts w:hint="default" w:ascii="Noto Sans" w:hAnsi="Noto Sans" w:cs="Noto Sans"/>
                <w:b w:val="0"/>
                <w:bCs w:val="0"/>
                <w:color w:val="000000"/>
                <w:sz w:val="22"/>
                <w:szCs w:val="22"/>
                <w:u w:val="none"/>
                <w:lang w:val="ca-ES"/>
              </w:rPr>
              <w:t>.</w:t>
            </w:r>
          </w:p>
          <w:p w14:paraId="21FCFBBD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1C16EDE">
            <w:pPr>
              <w:pStyle w:val="6"/>
              <w:snapToGrid w:val="0"/>
              <w:jc w:val="left"/>
              <w:rPr>
                <w:sz w:val="22"/>
                <w:szCs w:val="22"/>
              </w:rPr>
            </w:pPr>
          </w:p>
        </w:tc>
      </w:tr>
      <w:tr w14:paraId="2D71A6E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3528" w:hRule="atLeast"/>
        </w:trPr>
        <w:tc>
          <w:tcPr>
            <w:tcW w:w="7988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 w14:paraId="4732B346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u w:val="single"/>
                <w:shd w:val="clear" w:color="auto" w:fill="auto"/>
              </w:rPr>
              <w:t xml:space="preserve">5. 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  <w:u w:val="single"/>
                <w:shd w:val="clear" w:color="auto" w:fill="auto"/>
                <w:lang w:val="ca-ES"/>
              </w:rPr>
              <w:t>Coneixements de català</w:t>
            </w:r>
            <w:r>
              <w:rPr>
                <w:rFonts w:ascii="Noto Sans" w:hAnsi="Noto Sans" w:cs="Noto Sans"/>
                <w:sz w:val="22"/>
                <w:szCs w:val="22"/>
                <w:u w:val="single"/>
                <w:shd w:val="clear" w:color="auto" w:fill="auto"/>
                <w:lang w:val="ca-ES"/>
              </w:rPr>
              <w:t>.</w:t>
            </w:r>
            <w:r>
              <w:rPr>
                <w:rFonts w:ascii="Noto Sans" w:hAnsi="Noto Sans" w:cs="Noto Sans"/>
                <w:sz w:val="22"/>
                <w:szCs w:val="22"/>
                <w:u w:val="none"/>
                <w:shd w:val="clear" w:color="auto" w:fill="auto"/>
                <w:lang w:val="ca-ES"/>
              </w:rPr>
              <w:t xml:space="preserve"> </w:t>
            </w:r>
            <w:r>
              <w:rPr>
                <w:rFonts w:ascii="Noto Sans" w:hAnsi="Noto Sans" w:eastAsia="Noto Sans" w:cs="Noto Sans"/>
                <w:color w:val="000000"/>
                <w:kern w:val="0"/>
                <w:sz w:val="22"/>
                <w:szCs w:val="22"/>
                <w:u w:val="none"/>
                <w:shd w:val="clear" w:color="auto" w:fill="auto"/>
                <w:lang w:val="ca-ES" w:eastAsia="zh-CN" w:bidi="ar"/>
              </w:rPr>
              <w:t xml:space="preserve">Només es valorarà el certificat de nivell més alt que s’acredita, a més del </w:t>
            </w: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ca-ES" w:eastAsia="zh-CN" w:bidi="ar"/>
              </w:rPr>
              <w:t xml:space="preserve">certificat de llenguatge administratiu, la puntuació del qual s’ha d’acumular a la de l’altre certificat que s’acrediti. </w:t>
            </w:r>
          </w:p>
          <w:p w14:paraId="53B78A9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ca-ES" w:eastAsia="zh-CN" w:bidi="ar"/>
              </w:rPr>
            </w:pPr>
          </w:p>
          <w:p w14:paraId="77176BA5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b w:val="0"/>
                <w:bCs w:val="0"/>
                <w:color w:val="000000"/>
                <w:kern w:val="0"/>
                <w:sz w:val="22"/>
                <w:szCs w:val="22"/>
                <w:u w:val="none"/>
                <w:shd w:val="clear" w:color="auto" w:fill="auto"/>
                <w:lang w:val="ca-ES" w:eastAsia="zh-CN" w:bidi="ar"/>
              </w:rPr>
              <w:t xml:space="preserve">En tots els casos només es valoren els certificats de nivell superior a l’exigit com a requisit d’accés, d’acord amb la puntuació següent:  </w:t>
            </w:r>
          </w:p>
          <w:p w14:paraId="2F377E3B">
            <w:pPr>
              <w:widowControl w:val="0"/>
              <w:tabs>
                <w:tab w:val="left" w:pos="1866"/>
              </w:tabs>
              <w:suppressAutoHyphens/>
              <w:jc w:val="both"/>
              <w:rPr>
                <w:rFonts w:ascii="Noto Sans" w:hAnsi="Noto Sans"/>
                <w:sz w:val="22"/>
                <w:szCs w:val="22"/>
                <w:shd w:val="clear" w:color="auto" w:fill="auto"/>
              </w:rPr>
            </w:pPr>
          </w:p>
          <w:p w14:paraId="6C062E9D">
            <w:pPr>
              <w:keepNext w:val="0"/>
              <w:keepLines w:val="0"/>
              <w:widowControl/>
              <w:suppressLineNumbers w:val="0"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color w:val="000000"/>
                <w:kern w:val="0"/>
                <w:sz w:val="22"/>
                <w:szCs w:val="22"/>
                <w:shd w:val="clear" w:color="auto" w:fill="auto"/>
                <w:lang w:val="ca-ES" w:eastAsia="zh-CN" w:bidi="ar"/>
              </w:rPr>
              <w:t xml:space="preserve">- Per un certificat d’un nivell superior al requerit (C1 o C2): 0,7 punts. </w:t>
            </w:r>
          </w:p>
          <w:p w14:paraId="6554C9AF">
            <w:pPr>
              <w:keepNext w:val="0"/>
              <w:keepLines w:val="0"/>
              <w:widowControl/>
              <w:suppressLineNumbers w:val="0"/>
              <w:tabs>
                <w:tab w:val="left" w:pos="1866"/>
              </w:tabs>
              <w:suppressAutoHyphens/>
              <w:jc w:val="left"/>
              <w:rPr>
                <w:sz w:val="22"/>
                <w:szCs w:val="22"/>
              </w:rPr>
            </w:pPr>
            <w:r>
              <w:rPr>
                <w:rFonts w:hint="default" w:ascii="Noto Sans" w:hAnsi="Noto Sans" w:eastAsia="Helvetica" w:cs="Helvetica"/>
                <w:b w:val="0"/>
                <w:bCs w:val="0"/>
                <w:color w:val="000000"/>
                <w:kern w:val="0"/>
                <w:sz w:val="22"/>
                <w:szCs w:val="22"/>
                <w:u w:val="none"/>
                <w:shd w:val="clear" w:color="auto" w:fill="auto"/>
                <w:lang w:val="ca-ES" w:eastAsia="zh-CN" w:bidi="ar"/>
              </w:rPr>
              <w:t xml:space="preserve">- </w:t>
            </w:r>
            <w:r>
              <w:rPr>
                <w:rFonts w:hint="default" w:ascii="Noto Sans" w:hAnsi="Noto Sans" w:eastAsia="Noto Sans" w:cs="Noto Sans"/>
                <w:b w:val="0"/>
                <w:bCs w:val="0"/>
                <w:color w:val="000000"/>
                <w:kern w:val="0"/>
                <w:sz w:val="22"/>
                <w:szCs w:val="22"/>
                <w:u w:val="none"/>
                <w:shd w:val="clear" w:color="auto" w:fill="auto"/>
                <w:lang w:val="ca-ES" w:eastAsia="zh-CN" w:bidi="ar"/>
              </w:rPr>
              <w:t>Per un certificat de llenguatge administratiu: 0,3 punts.</w:t>
            </w:r>
          </w:p>
          <w:p w14:paraId="44FFD962">
            <w:pPr>
              <w:widowControl/>
              <w:suppressLineNumbers w:val="0"/>
              <w:tabs>
                <w:tab w:val="left" w:pos="1866"/>
              </w:tabs>
              <w:suppressAutoHyphens/>
              <w:jc w:val="left"/>
              <w:rPr>
                <w:rFonts w:ascii="Noto Sans" w:hAnsi="Noto Sans"/>
                <w:sz w:val="22"/>
                <w:szCs w:val="22"/>
                <w:shd w:val="clear" w:color="auto" w:fill="auto"/>
              </w:rPr>
            </w:pPr>
          </w:p>
          <w:p w14:paraId="230D72A8">
            <w:pPr>
              <w:widowControl w:val="0"/>
              <w:suppressLineNumbers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  <w:r>
              <w:rPr>
                <w:rFonts w:hint="default" w:ascii="Noto Sans" w:hAnsi="Noto Sans" w:eastAsia="Noto Sans" w:cs="Noto Sans"/>
                <w:b/>
                <w:bCs/>
                <w:color w:val="000000"/>
                <w:kern w:val="0"/>
                <w:sz w:val="22"/>
                <w:szCs w:val="22"/>
                <w:u w:val="none"/>
                <w:shd w:val="clear" w:color="auto" w:fill="auto"/>
                <w:lang w:val="ca-ES" w:eastAsia="zh-CN" w:bidi="ar"/>
              </w:rPr>
              <w:t>Puntuació màxima 1 punt.</w:t>
            </w:r>
          </w:p>
          <w:p w14:paraId="1945DE55">
            <w:pPr>
              <w:widowControl w:val="0"/>
              <w:tabs>
                <w:tab w:val="left" w:pos="1866"/>
              </w:tabs>
              <w:suppressAutoHyphens/>
              <w:jc w:val="both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BCE0B68">
            <w:pPr>
              <w:pStyle w:val="6"/>
              <w:snapToGrid w:val="0"/>
              <w:jc w:val="left"/>
              <w:rPr>
                <w:sz w:val="22"/>
                <w:szCs w:val="22"/>
              </w:rPr>
            </w:pPr>
          </w:p>
        </w:tc>
      </w:tr>
    </w:tbl>
    <w:p w14:paraId="08EE427D">
      <w:bookmarkStart w:id="0" w:name="_GoBack"/>
      <w:bookmarkEnd w:id="0"/>
    </w:p>
    <w:sectPr>
      <w:headerReference r:id="rId3" w:type="default"/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Noto Sans">
    <w:panose1 w:val="020B0502040504020204"/>
    <w:charset w:val="00"/>
    <w:family w:val="swiss"/>
    <w:pitch w:val="default"/>
    <w:sig w:usb0="E00002FF" w:usb1="4000001F" w:usb2="08000029" w:usb3="00100000" w:csb0="00000000" w:csb1="00000000"/>
  </w:font>
  <w:font w:name="Helvetica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84FC81">
    <w:pPr>
      <w:pStyle w:val="4"/>
      <w:rPr>
        <w:b/>
        <w:bCs/>
      </w:rPr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-496570</wp:posOffset>
          </wp:positionH>
          <wp:positionV relativeFrom="paragraph">
            <wp:posOffset>-155575</wp:posOffset>
          </wp:positionV>
          <wp:extent cx="2582545" cy="598805"/>
          <wp:effectExtent l="0" t="0" r="8255" b="1079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>
                    <a:picLocks noChangeAspect="1"/>
                  </pic:cNvPicPr>
                </pic:nvPicPr>
                <pic:blipFill>
                  <a:blip r:embed="rId1"/>
                  <a:srcRect l="-513" t="-2182" r="-513" b="-2182"/>
                  <a:stretch>
                    <a:fillRect/>
                  </a:stretch>
                </pic:blipFill>
                <pic:spPr>
                  <a:xfrm>
                    <a:off x="0" y="0"/>
                    <a:ext cx="2582545" cy="59880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708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D71D77"/>
    <w:rsid w:val="24D71D77"/>
    <w:rsid w:val="2F3C0695"/>
    <w:rsid w:val="3043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7"/>
    <w:pPr>
      <w:widowControl/>
      <w:suppressAutoHyphens/>
      <w:bidi w:val="0"/>
    </w:pPr>
    <w:rPr>
      <w:rFonts w:ascii="Noto Sans" w:hAnsi="Noto Sans" w:eastAsia="Calibri" w:cs="Times New Roman"/>
      <w:color w:val="000000"/>
      <w:sz w:val="22"/>
      <w:szCs w:val="22"/>
      <w:lang w:val="ca-ES" w:eastAsia="en-US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</w:style>
  <w:style w:type="paragraph" w:customStyle="1" w:styleId="6">
    <w:name w:val="Contenido de la tabla"/>
    <w:basedOn w:val="1"/>
    <w:uiPriority w:val="6"/>
    <w:pPr>
      <w:suppressLineNumbers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498</Words>
  <Characters>2675</Characters>
  <Lines>0</Lines>
  <Paragraphs>0</Paragraphs>
  <TotalTime>4</TotalTime>
  <ScaleCrop>false</ScaleCrop>
  <LinksUpToDate>false</LinksUpToDate>
  <CharactersWithSpaces>3150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2025-11-26T14:07:00Z</dcterms:created>
  <dc:creator>WPS_1707117178</dc:creator>
  <cp:lastModifiedBy>WPS_1707117178</cp:lastModifiedBy>
  <dcterms:modified xsi:type="dcterms:W3CDTF">2026-05-20T05:52:11Z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3082-12.1.0.26372</vt:lpwstr>
  </property>
  <property fmtid="{D5CDD505-2E9C-101B-9397-08002B2CF9AE}" pid="3" name="ICV">
    <vt:lpwstr>C94237F2F8804505B5D55F11716DFA8A_11</vt:lpwstr>
  </property>
  <property fmtid="{D5CDD505-2E9C-101B-9397-08002B2CF9AE}" pid="4" name="KSOTemplateDocerSaveRecord">
    <vt:lpwstr>eyJoZGlkIjoiYWJkMjNjODcxYTViNzc5ZDUyZmNmOWY1YTlhMDIwNTkiLCJ1c2VySWQiOiIxODA0Mzk2ODg5MDI0In0=</vt:lpwstr>
  </property>
</Properties>
</file>