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1.bin" ContentType="application/vnd.ms-office.activeX"/>
  <Override PartName="/word/activeX/_rels/activeX1.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uerpodetexto"/>
        <w:jc w:val="left"/>
        <w:rPr>
          <w:rFonts w:ascii="Noto Sans" w:hAnsi="Noto Sans"/>
          <w:b/>
          <w:b/>
          <w:bCs/>
          <w:sz w:val="28"/>
          <w:szCs w:val="28"/>
          <w:u w:val="single"/>
        </w:rPr>
      </w:pPr>
      <w:r>
        <w:rPr>
          <w:rFonts w:ascii="Noto Sans" w:hAnsi="Noto Sans"/>
          <w:b/>
          <w:bCs/>
          <w:sz w:val="28"/>
          <w:szCs w:val="28"/>
          <w:u w:val="single"/>
        </w:rPr>
      </w:r>
    </w:p>
    <w:p>
      <w:pPr>
        <w:pStyle w:val="Cuerpodetexto"/>
        <w:jc w:val="left"/>
        <w:rPr>
          <w:rFonts w:ascii="Noto Sans" w:hAnsi="Noto Sans"/>
          <w:b/>
          <w:b/>
          <w:bCs/>
          <w:sz w:val="28"/>
          <w:szCs w:val="28"/>
          <w:u w:val="single"/>
        </w:rPr>
      </w:pPr>
      <w:r>
        <w:rPr>
          <w:rFonts w:ascii="Noto Sans" w:hAnsi="Noto Sans"/>
          <w:b/>
          <w:bCs/>
          <w:sz w:val="28"/>
          <w:szCs w:val="28"/>
          <w:u w:val="single"/>
        </w:rPr>
      </w:r>
    </w:p>
    <w:p>
      <w:pPr>
        <w:pStyle w:val="Cuerpodetexto"/>
        <w:jc w:val="left"/>
        <w:rPr>
          <w:rFonts w:ascii="Noto Sans" w:hAnsi="Noto Sans"/>
          <w:b/>
          <w:b/>
          <w:bCs/>
          <w:sz w:val="28"/>
          <w:szCs w:val="28"/>
          <w:u w:val="single"/>
        </w:rPr>
      </w:pPr>
      <w:r>
        <w:rPr>
          <w:rFonts w:ascii="Noto Sans" w:hAnsi="Noto Sans"/>
          <w:b/>
          <w:bCs/>
          <w:sz w:val="28"/>
          <w:szCs w:val="28"/>
          <w:u w:val="single"/>
        </w:rPr>
        <w:t>INSTITUT D’ESTUDIS BALEÀRICS</w:t>
      </w:r>
    </w:p>
    <w:p>
      <w:pPr>
        <w:pStyle w:val="Cuerpodetexto"/>
        <w:jc w:val="left"/>
        <w:rPr>
          <w:sz w:val="24"/>
          <w:szCs w:val="24"/>
        </w:rPr>
      </w:pPr>
      <w:r>
        <w:rPr>
          <w:rFonts w:ascii="Noto Sans" w:hAnsi="Noto Sans"/>
          <w:b/>
          <w:bCs/>
          <w:sz w:val="24"/>
          <w:szCs w:val="24"/>
          <w:u w:val="single"/>
        </w:rPr>
        <w:t>FIRES I FESTIVALS 2026-2027: MEMÒRIA DESCRIPTIVA DE L’ACTIVITAT</w:t>
      </w:r>
    </w:p>
    <w:p>
      <w:pPr>
        <w:pStyle w:val="Cuerpodetexto"/>
        <w:jc w:val="left"/>
        <w:rPr>
          <w:rFonts w:ascii="Noto Sans" w:hAnsi="Noto Sans" w:eastAsia="NSimSun" w:cs="Arial"/>
          <w:b w:val="false"/>
          <w:b w:val="false"/>
          <w:bCs w:val="false"/>
          <w:color w:val="auto"/>
          <w:kern w:val="2"/>
          <w:sz w:val="20"/>
          <w:szCs w:val="20"/>
          <w:u w:val="none"/>
          <w:lang w:val="ca-ES" w:eastAsia="zh-CN" w:bidi="hi-IN"/>
        </w:rPr>
      </w:pPr>
      <w:bookmarkStart w:id="0" w:name="__DdeLink__866_2134896740"/>
      <w:r>
        <w:rPr>
          <w:rFonts w:eastAsia="NSimSun" w:cs="Arial" w:ascii="Noto Sans" w:hAnsi="Noto Sans"/>
          <w:b w:val="false"/>
          <w:bCs w:val="false"/>
          <w:color w:val="auto"/>
          <w:kern w:val="2"/>
          <w:sz w:val="20"/>
          <w:szCs w:val="20"/>
          <w:u w:val="none"/>
          <w:lang w:val="ca-ES" w:eastAsia="zh-CN" w:bidi="hi-IN"/>
        </w:rPr>
        <w:t>En aquesta memòria hi heu de detallar la informació relativa a l’esdeveniment de 2026, tot i que també es valoraran positivament els avançaments que es tenguin previstos de 2027 (si n'hi ha). Amb la puntuació obtinguda de 2026 es calcularà l’import atorgat de 2026 i de 2027.</w:t>
      </w:r>
      <w:bookmarkEnd w:id="0"/>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966"/>
        <w:gridCol w:w="10606"/>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uerpodetexto"/>
              <w:spacing w:lineRule="auto" w:line="240" w:before="285" w:after="285"/>
              <w:jc w:val="center"/>
              <w:rPr>
                <w:rFonts w:ascii="Noto Sans" w:hAnsi="Noto Sans" w:eastAsia="NSimSun" w:cs="Arial"/>
                <w:b/>
                <w:b/>
                <w:bCs/>
                <w:color w:val="auto"/>
                <w:kern w:val="2"/>
                <w:sz w:val="20"/>
                <w:szCs w:val="20"/>
                <w:u w:val="none"/>
                <w:lang w:val="ca-ES" w:eastAsia="zh-CN" w:bidi="hi-IN"/>
              </w:rPr>
            </w:pPr>
            <w:r>
              <w:rPr>
                <w:rFonts w:eastAsia="NSimSun" w:cs="Arial" w:ascii="Noto Sans" w:hAnsi="Noto Sans"/>
                <w:b/>
                <w:bCs/>
                <w:color w:val="auto"/>
                <w:kern w:val="2"/>
                <w:sz w:val="20"/>
                <w:szCs w:val="20"/>
                <w:u w:val="none"/>
                <w:lang w:val="ca-ES" w:eastAsia="zh-CN" w:bidi="hi-IN"/>
              </w:rPr>
              <w:t>FITXA TÈCNICA DE L’ESDEVENIMENT</w:t>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Nom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Tipus d’esdeveniment / Disciplina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Data d’inici</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Data de finalització</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Illa on es desenvolupa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Pàgina web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20"/>
                <w:szCs w:val="20"/>
              </w:rPr>
            </w:pPr>
            <w:r>
              <w:rPr>
                <w:rFonts w:ascii="Noto Sans" w:hAnsi="Noto Sans"/>
                <w:b w:val="false"/>
                <w:bCs w:val="false"/>
                <w:i w:val="false"/>
                <w:iCs w:val="false"/>
                <w:sz w:val="20"/>
                <w:szCs w:val="20"/>
              </w:rPr>
              <w:t>Pàgina web de l’entitat organitzadora, si és diferent a la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Pàgina web on es pot consultar la informació i inscriure’s a les jornades professionals, si escau</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20"/>
                <w:szCs w:val="20"/>
              </w:rPr>
            </w:pPr>
            <w:r>
              <w:rPr>
                <w:rFonts w:ascii="Noto Sans" w:hAnsi="Noto Sans"/>
                <w:b w:val="false"/>
                <w:bCs w:val="false"/>
                <w:i w:val="false"/>
                <w:iCs w:val="false"/>
                <w:sz w:val="20"/>
                <w:szCs w:val="20"/>
              </w:rPr>
              <w:t>Xarxes socials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t>Altres enllaços d’interès</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bl>
    <w:p>
      <w:pPr>
        <w:pStyle w:val="Normal"/>
        <w:jc w:val="center"/>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ca-ES" w:eastAsia="zh-CN" w:bidi="hi-IN"/>
        </w:rPr>
      </w:r>
    </w:p>
    <w:p>
      <w:pPr>
        <w:pStyle w:val="Normal"/>
        <w:jc w:val="left"/>
        <w:rPr>
          <w:rFonts w:ascii="Noto Sans" w:hAnsi="Noto Sans" w:eastAsia="NSimSun" w:cs="Arial"/>
          <w:b w:val="false"/>
          <w:b w:val="false"/>
          <w:bCs w:val="false"/>
          <w:color w:val="auto"/>
          <w:kern w:val="2"/>
          <w:sz w:val="18"/>
          <w:szCs w:val="18"/>
          <w:lang w:val="ca-ES" w:eastAsia="zh-CN" w:bidi="hi-IN"/>
        </w:rPr>
      </w:pPr>
      <w:r>
        <w:rPr>
          <w:rFonts w:eastAsia="NSimSun" w:cs="Arial" w:ascii="Noto Sans" w:hAnsi="Noto Sans"/>
          <w:b w:val="false"/>
          <w:bCs w:val="false"/>
          <w:color w:val="auto"/>
          <w:kern w:val="2"/>
          <w:sz w:val="18"/>
          <w:szCs w:val="18"/>
          <w:lang w:val="ca-ES" w:eastAsia="zh-CN" w:bidi="hi-IN"/>
        </w:rPr>
        <w:t>* Enganxau els enllaços sencers, no empreu hipervincles</w:t>
      </w:r>
      <w:r>
        <w:br w:type="page"/>
      </w:r>
    </w:p>
    <w:p>
      <w:pPr>
        <w:pStyle w:val="Normal"/>
        <w:jc w:val="center"/>
        <w:rPr/>
      </w:pPr>
      <w:r>
        <w:rPr>
          <w:rFonts w:eastAsia="NSimSun" w:cs="Arial" w:ascii="Noto Sans" w:hAnsi="Noto Sans"/>
          <w:b/>
          <w:bCs/>
          <w:color w:val="auto"/>
          <w:kern w:val="2"/>
          <w:sz w:val="20"/>
          <w:szCs w:val="20"/>
          <w:lang w:val="ca-ES" w:eastAsia="zh-CN" w:bidi="hi-IN"/>
        </w:rPr>
        <w:t>ACRED</w:t>
      </w:r>
      <w:r>
        <w:rPr>
          <w:rFonts w:ascii="Noto Sans" w:hAnsi="Noto Sans"/>
          <w:b/>
          <w:bCs/>
          <w:sz w:val="20"/>
          <w:szCs w:val="20"/>
        </w:rPr>
        <w:t>ITACIÓ DELS REQUISITS EXIGITS A LA CONVOCATÒRIA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auto"/>
                <w:sz w:val="22"/>
                <w:szCs w:val="22"/>
              </w:rPr>
            </w:pPr>
            <w:r>
              <w:rPr>
                <w:rFonts w:ascii="Noto Sans" w:hAnsi="Noto Sans"/>
                <w:b/>
                <w:bCs/>
                <w:color w:val="auto"/>
                <w:sz w:val="22"/>
                <w:szCs w:val="22"/>
              </w:rPr>
              <w:t xml:space="preserve">L’activitat objecte de la subvenció ha de tenir com una de les seves finalitats, de manera comprovable, la projecció exterior dels artistes de les Illes Balears. Els esdeveniments, han de complir, com a mínim, </w:t>
            </w:r>
            <w:r>
              <w:rPr>
                <w:rFonts w:ascii="Noto Sans" w:hAnsi="Noto Sans"/>
                <w:b/>
                <w:bCs/>
                <w:color w:val="auto"/>
                <w:sz w:val="22"/>
                <w:szCs w:val="22"/>
                <w:u w:val="single"/>
              </w:rPr>
              <w:t>dos</w:t>
            </w:r>
            <w:r>
              <w:rPr>
                <w:rFonts w:ascii="Noto Sans" w:hAnsi="Noto Sans"/>
                <w:b/>
                <w:bCs/>
                <w:color w:val="auto"/>
                <w:sz w:val="22"/>
                <w:szCs w:val="22"/>
              </w:rPr>
              <w:t xml:space="preserve"> d’aquests requisits</w:t>
            </w:r>
            <w:r>
              <w:rPr>
                <w:rStyle w:val="Ancladenotaalpie"/>
                <w:rStyle w:val="Ancladenotaalpie"/>
                <w:rFonts w:ascii="Noto Sans" w:hAnsi="Noto Sans"/>
                <w:b/>
                <w:bCs/>
                <w:color w:val="auto"/>
                <w:sz w:val="22"/>
                <w:szCs w:val="22"/>
              </w:rPr>
              <w:footnoteReference w:id="2"/>
            </w:r>
            <w:r>
              <w:rPr>
                <w:rFonts w:ascii="Noto Sans" w:hAnsi="Noto Sans"/>
                <w:b/>
                <w:bCs/>
                <w:color w:val="auto"/>
                <w:sz w:val="22"/>
                <w:szCs w:val="22"/>
              </w:rPr>
              <w:t>:</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Participació i activitat professional de programadors, distribuïdors, productors, gestors i mediadors culturals, comissaris, crítics, etc. de fora de les Illes Balears convidats per l'organització en un nombre mínim de 3.</w:t>
            </w:r>
          </w:p>
          <w:p>
            <w:pPr>
              <w:pStyle w:val="Normal"/>
              <w:rPr>
                <w:rFonts w:ascii="Noto Sans" w:hAnsi="Noto Sans"/>
                <w:b/>
                <w:b/>
                <w:bCs/>
                <w:sz w:val="18"/>
                <w:szCs w:val="18"/>
              </w:rPr>
            </w:pPr>
            <w:r>
              <w:rPr>
                <w:rFonts w:ascii="Noto Sans" w:hAnsi="Noto Sans"/>
                <w:b/>
                <w:bCs/>
                <w:sz w:val="18"/>
                <w:szCs w:val="18"/>
              </w:rPr>
            </w:r>
          </w:p>
          <w:p>
            <w:pPr>
              <w:pStyle w:val="Normal"/>
              <w:jc w:val="left"/>
              <w:rPr>
                <w:rFonts w:ascii="Noto Sans" w:hAnsi="Noto Sans"/>
                <w:b/>
                <w:b/>
                <w:bCs/>
                <w:i/>
                <w:i/>
                <w:iCs/>
                <w:sz w:val="18"/>
                <w:szCs w:val="18"/>
              </w:rPr>
            </w:pPr>
            <w:r>
              <w:rPr>
                <w:rFonts w:ascii="Noto Sans" w:hAnsi="Noto Sans"/>
                <w:b/>
                <w:bCs/>
                <w:i/>
                <w:iCs/>
                <w:sz w:val="18"/>
                <w:szCs w:val="18"/>
              </w:rPr>
              <w:t>–</w:t>
            </w:r>
            <w:r>
              <w:rPr>
                <w:rFonts w:ascii="Noto Sans" w:hAnsi="Noto Sans"/>
                <w:b w:val="false"/>
                <w:bCs w:val="false"/>
                <w:i w:val="false"/>
                <w:iCs w:val="false"/>
                <w:sz w:val="18"/>
                <w:szCs w:val="18"/>
              </w:rPr>
              <w:t xml:space="preserve"> </w:t>
            </w:r>
            <w:r>
              <w:rPr>
                <w:rFonts w:ascii="Noto Sans" w:hAnsi="Noto Sans"/>
                <w:b w:val="false"/>
                <w:bCs w:val="false"/>
                <w:i w:val="false"/>
                <w:iCs w:val="false"/>
                <w:sz w:val="18"/>
                <w:szCs w:val="18"/>
              </w:rPr>
              <w:t>Especificau qui són, la seva procedència, i quina activitat realitzen dins l’esdeveniment.</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t xml:space="preserve">– </w:t>
            </w:r>
            <w:r>
              <w:rPr>
                <w:rFonts w:ascii="Noto Sans" w:hAnsi="Noto Sans"/>
                <w:b w:val="false"/>
                <w:bCs w:val="false"/>
                <w:i w:val="false"/>
                <w:iCs w:val="false"/>
                <w:sz w:val="18"/>
                <w:szCs w:val="18"/>
              </w:rPr>
              <w:t>Per acreditar el compliment d’aquest requisit, s’han de presentar 3 cartes de compromís de participació signades pels professionals.</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t>*S’han de presentar cartes de compromís de participació signades, on hi aparegui la identificació de la persona, el seu càrrec i procedència i la tasca que desenvoluparà a l’esdeveniment. Si no es presenten es considerarà que no es compleix aquest requisit</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Participació en algun programa d'intercanvi amb altres esdeveniments similars que garanteixin la presència de la producció cultural de les Illes Balears a l'exterior.</w:t>
            </w:r>
          </w:p>
          <w:p>
            <w:pPr>
              <w:pStyle w:val="Normal"/>
              <w:jc w:val="left"/>
              <w:rPr>
                <w:rFonts w:ascii="Noto Sans" w:hAnsi="Noto Sans"/>
                <w:b/>
                <w:b/>
                <w:bCs/>
                <w:sz w:val="18"/>
                <w:szCs w:val="18"/>
              </w:rPr>
            </w:pPr>
            <w:r>
              <w:rPr>
                <w:rFonts w:ascii="Noto Sans" w:hAnsi="Noto Sans"/>
                <w:b/>
                <w:bCs/>
                <w:sz w:val="18"/>
                <w:szCs w:val="18"/>
              </w:rPr>
            </w:r>
          </w:p>
          <w:p>
            <w:pPr>
              <w:pStyle w:val="Normal"/>
              <w:jc w:val="left"/>
              <w:rPr>
                <w:rFonts w:ascii="Noto Sans" w:hAnsi="Noto Sans"/>
                <w:b/>
                <w:b/>
                <w:bCs/>
                <w:i/>
                <w:i/>
                <w:iCs/>
                <w:sz w:val="18"/>
                <w:szCs w:val="18"/>
              </w:rPr>
            </w:pPr>
            <w:r>
              <w:rPr>
                <w:rFonts w:ascii="Noto Sans" w:hAnsi="Noto Sans"/>
                <w:b w:val="false"/>
                <w:bCs w:val="false"/>
                <w:i w:val="false"/>
                <w:iCs w:val="false"/>
                <w:sz w:val="18"/>
                <w:szCs w:val="18"/>
              </w:rPr>
              <w:t>*</w:t>
            </w:r>
            <w:r>
              <w:rPr>
                <w:rStyle w:val="Fuentedeprrafopredeter"/>
                <w:rFonts w:ascii="Noto Sans" w:hAnsi="Noto Sans"/>
                <w:b w:val="false"/>
                <w:bCs w:val="false"/>
                <w:i w:val="false"/>
                <w:iCs w:val="false"/>
                <w:color w:val="auto"/>
                <w:sz w:val="18"/>
                <w:szCs w:val="18"/>
              </w:rPr>
              <w:t>Per acreditar el compliment d’aquest requisit, s</w:t>
            </w:r>
            <w:r>
              <w:rPr>
                <w:rFonts w:ascii="Noto Sans" w:hAnsi="Noto Sans"/>
                <w:b w:val="false"/>
                <w:bCs w:val="false"/>
                <w:i w:val="false"/>
                <w:iCs w:val="false"/>
                <w:color w:val="auto"/>
                <w:sz w:val="18"/>
                <w:szCs w:val="18"/>
              </w:rPr>
              <w:t>’han de presentar cartes de compromís o un conveni d’intercanvi amb, com a mínim, un esdeveniment similar de fora de les Illes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val="false"/>
                <w:b w:val="false"/>
                <w:bCs w:val="false"/>
                <w:sz w:val="18"/>
                <w:szCs w:val="18"/>
              </w:rPr>
            </w:pPr>
            <w:r>
              <w:rPr>
                <w:rFonts w:ascii="Noto Sans" w:hAnsi="Noto Sans"/>
                <w:b/>
                <w:bCs/>
                <w:sz w:val="20"/>
                <w:szCs w:val="20"/>
              </w:rPr>
              <w:t>Organització, dins el programa de l'esdeveniment, de jornades orientades al públic professional, que han de complir els següents requisits: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El programa ha de tenir com a mínim </w:t>
            </w:r>
            <w:r>
              <w:rPr>
                <w:rStyle w:val="Fuentedeprrafopredeter"/>
                <w:rFonts w:ascii="Noto Sans" w:hAnsi="Noto Sans"/>
                <w:b/>
                <w:bCs/>
                <w:color w:val="auto"/>
                <w:sz w:val="18"/>
                <w:szCs w:val="18"/>
              </w:rPr>
              <w:t>3</w:t>
            </w:r>
            <w:r>
              <w:rPr>
                <w:rStyle w:val="Fuentedeprrafopredeter"/>
                <w:rFonts w:ascii="Noto Sans" w:hAnsi="Noto Sans"/>
                <w:b w:val="false"/>
                <w:bCs w:val="false"/>
                <w:color w:val="auto"/>
                <w:sz w:val="18"/>
                <w:szCs w:val="18"/>
              </w:rPr>
              <w:t xml:space="preserve"> activitats.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Han d’anar dirigides </w:t>
            </w:r>
            <w:r>
              <w:rPr>
                <w:rStyle w:val="Fuentedeprrafopredeter"/>
                <w:rFonts w:ascii="Noto Sans" w:hAnsi="Noto Sans"/>
                <w:b/>
                <w:bCs/>
                <w:color w:val="auto"/>
                <w:sz w:val="18"/>
                <w:szCs w:val="18"/>
                <w:u w:val="single"/>
              </w:rPr>
              <w:t>exclusivament</w:t>
            </w:r>
            <w:r>
              <w:rPr>
                <w:rStyle w:val="Fuentedeprrafopredeter"/>
                <w:rFonts w:ascii="Noto Sans" w:hAnsi="Noto Sans"/>
                <w:b w:val="false"/>
                <w:bCs w:val="false"/>
                <w:color w:val="auto"/>
                <w:sz w:val="18"/>
                <w:szCs w:val="18"/>
              </w:rPr>
              <w:t xml:space="preserve"> a un </w:t>
            </w:r>
            <w:r>
              <w:rPr>
                <w:rStyle w:val="Fuentedeprrafopredeter"/>
                <w:rFonts w:ascii="Noto Sans" w:hAnsi="Noto Sans"/>
                <w:b/>
                <w:bCs/>
                <w:color w:val="auto"/>
                <w:sz w:val="18"/>
                <w:szCs w:val="18"/>
              </w:rPr>
              <w:t xml:space="preserve">públic professional </w:t>
            </w:r>
            <w:r>
              <w:rPr>
                <w:rStyle w:val="Fuentedeprrafopredeter"/>
                <w:rFonts w:ascii="Noto Sans" w:hAnsi="Noto Sans"/>
                <w:b w:val="false"/>
                <w:bCs w:val="false"/>
                <w:color w:val="auto"/>
                <w:sz w:val="18"/>
                <w:szCs w:val="18"/>
              </w:rPr>
              <w:t xml:space="preserve">i han de ser </w:t>
            </w:r>
            <w:r>
              <w:rPr>
                <w:rStyle w:val="Fuentedeprrafopredeter"/>
                <w:rFonts w:ascii="Noto Sans" w:hAnsi="Noto Sans"/>
                <w:b/>
                <w:bCs/>
                <w:color w:val="auto"/>
                <w:sz w:val="18"/>
                <w:szCs w:val="18"/>
              </w:rPr>
              <w:t>obertes</w:t>
            </w:r>
            <w:r>
              <w:rPr>
                <w:rStyle w:val="Fuentedeprrafopredeter"/>
                <w:rFonts w:ascii="Noto Sans" w:hAnsi="Noto Sans"/>
                <w:b w:val="false"/>
                <w:bCs w:val="false"/>
                <w:color w:val="auto"/>
                <w:sz w:val="18"/>
                <w:szCs w:val="18"/>
              </w:rPr>
              <w:t xml:space="preserve"> perquè s’hi puguin inscriure artistes i professionals balears.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Se n’ha de donar </w:t>
            </w:r>
            <w:r>
              <w:rPr>
                <w:rStyle w:val="Fuentedeprrafopredeter"/>
                <w:rFonts w:ascii="Noto Sans" w:hAnsi="Noto Sans"/>
                <w:b/>
                <w:bCs/>
                <w:color w:val="auto"/>
                <w:sz w:val="18"/>
                <w:szCs w:val="18"/>
              </w:rPr>
              <w:t>publicitat</w:t>
            </w:r>
            <w:r>
              <w:rPr>
                <w:rStyle w:val="Fuentedeprrafopredeter"/>
                <w:rFonts w:ascii="Noto Sans" w:hAnsi="Noto Sans"/>
                <w:b w:val="false"/>
                <w:bCs w:val="false"/>
                <w:color w:val="auto"/>
                <w:sz w:val="18"/>
                <w:szCs w:val="18"/>
              </w:rPr>
              <w:t xml:space="preserve"> i ha d’aparèixer la informació a la pàgina web de l’esdeveniment.</w:t>
            </w:r>
          </w:p>
          <w:p>
            <w:pPr>
              <w:pStyle w:val="Normal"/>
              <w:numPr>
                <w:ilvl w:val="0"/>
                <w:numId w:val="1"/>
              </w:numPr>
              <w:ind w:left="340" w:right="0" w:hanging="340"/>
              <w:jc w:val="left"/>
              <w:rPr>
                <w:rFonts w:ascii="Noto Sans" w:hAnsi="Noto Sans"/>
                <w:b/>
                <w:b/>
                <w:bCs/>
                <w:sz w:val="20"/>
                <w:szCs w:val="20"/>
              </w:rPr>
            </w:pPr>
            <w:r>
              <w:rPr>
                <w:rStyle w:val="Fuentedeprrafopredeter"/>
                <w:rFonts w:ascii="Noto Sans" w:hAnsi="Noto Sans"/>
                <w:b w:val="false"/>
                <w:bCs w:val="false"/>
                <w:color w:val="auto"/>
                <w:sz w:val="18"/>
                <w:szCs w:val="18"/>
              </w:rPr>
              <w:t xml:space="preserve">Hi han de participar </w:t>
            </w:r>
            <w:r>
              <w:rPr>
                <w:rStyle w:val="Fuentedeprrafopredeter"/>
                <w:rFonts w:ascii="Noto Sans" w:hAnsi="Noto Sans"/>
                <w:b/>
                <w:bCs/>
                <w:color w:val="auto"/>
                <w:sz w:val="18"/>
                <w:szCs w:val="18"/>
              </w:rPr>
              <w:t xml:space="preserve">professionals de fora </w:t>
            </w:r>
            <w:r>
              <w:rPr>
                <w:rStyle w:val="Fuentedeprrafopredeter"/>
                <w:rFonts w:ascii="Noto Sans" w:hAnsi="Noto Sans"/>
                <w:b w:val="false"/>
                <w:bCs w:val="false"/>
                <w:color w:val="auto"/>
                <w:sz w:val="18"/>
                <w:szCs w:val="18"/>
              </w:rPr>
              <w:t>i artistes de les Balears, han de ser obertes al públic professional balear.</w:t>
            </w:r>
            <w:r>
              <w:rPr>
                <w:rFonts w:ascii="Noto Sans" w:hAnsi="Noto Sans"/>
                <w:b/>
                <w:bCs/>
                <w:color w:val="auto"/>
                <w:sz w:val="22"/>
                <w:szCs w:val="22"/>
                <w:highlight w:val="white"/>
              </w:rPr>
              <w:t xml:space="preserve"> </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525"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before="285" w:after="285"/>
              <w:jc w:val="left"/>
              <w:rPr/>
            </w:pPr>
            <w:r>
              <w:rPr>
                <w:rFonts w:ascii="Noto Sans" w:hAnsi="Noto Sans"/>
                <w:b/>
                <w:bCs/>
                <w:sz w:val="22"/>
                <w:szCs w:val="22"/>
              </w:rPr>
              <w:t>Per optar a subvenció cal que els esdeveniments tenguin programats, com a mínim, un 30 % d'artistes i agents culturals</w:t>
            </w:r>
            <w:r>
              <w:rPr>
                <w:rStyle w:val="Ancladenotaalpie"/>
                <w:rStyle w:val="Ancladenotaalpie"/>
                <w:rFonts w:ascii="Noto Sans" w:hAnsi="Noto Sans"/>
                <w:b/>
                <w:bCs/>
                <w:sz w:val="22"/>
                <w:szCs w:val="22"/>
              </w:rPr>
              <w:footnoteReference w:id="3"/>
            </w:r>
            <w:r>
              <w:rPr>
                <w:rFonts w:ascii="Noto Sans" w:hAnsi="Noto Sans"/>
                <w:b/>
                <w:bCs/>
                <w:sz w:val="22"/>
                <w:szCs w:val="22"/>
              </w:rPr>
              <w:t xml:space="preserve"> de les Illes Balears, que aquests professionals siguin remunerats i que tenguin presència la comunicació de l’esdeveniment i al cartell principal. Els festivals subvencionats han de garantir un caixet mínim per actuació de 150 € per integrant, i no es podrà contractar cap artista per davall d'aquesta quantitat.</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2"/>
                <w:szCs w:val="22"/>
              </w:rPr>
              <w:t>Programació completa de l'esdeveniment especificant quins artistes són de les Illes Balears i quins són de fora</w:t>
            </w:r>
          </w:p>
          <w:p>
            <w:pPr>
              <w:pStyle w:val="Normal"/>
              <w:jc w:val="left"/>
              <w:rPr>
                <w:rFonts w:ascii="Noto Sans" w:hAnsi="Noto Sans"/>
                <w:b/>
                <w:b/>
                <w:bCs/>
                <w:sz w:val="22"/>
                <w:szCs w:val="22"/>
              </w:rPr>
            </w:pPr>
            <w:r>
              <w:rPr>
                <w:rFonts w:ascii="Noto Sans" w:hAnsi="Noto Sans"/>
                <w:b/>
                <w:bCs/>
                <w:sz w:val="22"/>
                <w:szCs w:val="22"/>
              </w:rPr>
            </w:r>
          </w:p>
          <w:p>
            <w:pPr>
              <w:pStyle w:val="Normal"/>
              <w:jc w:val="left"/>
              <w:rPr/>
            </w:pPr>
            <w:r>
              <w:rPr>
                <w:rFonts w:ascii="Noto Sans" w:hAnsi="Noto Sans"/>
                <w:b/>
                <w:bCs/>
                <w:sz w:val="22"/>
                <w:szCs w:val="22"/>
              </w:rPr>
              <w:t>Al pressupost ha de quedar constància de quins grups es contractaran i el caixet que se’ls pagarà.</w:t>
            </w:r>
          </w:p>
          <w:p>
            <w:pPr>
              <w:pStyle w:val="Normal"/>
              <w:jc w:val="left"/>
              <w:rPr>
                <w:rFonts w:ascii="Noto Sans" w:hAnsi="Noto Sans"/>
                <w:b/>
                <w:b/>
                <w:bCs/>
                <w:sz w:val="22"/>
                <w:szCs w:val="22"/>
              </w:rPr>
            </w:pPr>
            <w:r>
              <w:rPr>
                <w:rFonts w:ascii="Noto Sans" w:hAnsi="Noto Sans"/>
                <w:b/>
                <w:bCs/>
                <w:sz w:val="22"/>
                <w:szCs w:val="22"/>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0"/>
              </w:numPr>
              <w:spacing w:lineRule="auto" w:line="276" w:before="0" w:after="0"/>
              <w:ind w:left="0" w:hanging="0"/>
              <w:rPr/>
            </w:pPr>
            <w:r>
              <w:rPr>
                <w:rStyle w:val="Fuentedeprrafopredeter"/>
                <w:rFonts w:ascii="Noto Sans" w:hAnsi="Noto Sans"/>
                <w:b/>
                <w:bCs/>
                <w:color w:val="auto"/>
                <w:sz w:val="22"/>
                <w:szCs w:val="22"/>
              </w:rPr>
              <w:t xml:space="preserve">En el cas d’esdeveniments de la modalitat </w:t>
            </w:r>
            <w:r>
              <w:rPr>
                <w:rStyle w:val="Fuentedeprrafopredeter"/>
                <w:rFonts w:ascii="Noto Sans" w:hAnsi="Noto Sans"/>
                <w:b/>
                <w:bCs/>
                <w:color w:val="auto"/>
                <w:sz w:val="22"/>
                <w:szCs w:val="22"/>
                <w:u w:val="single"/>
              </w:rPr>
              <w:t>i) Cicles de concerts d’orquestres professionals i temporada lírica,</w:t>
            </w:r>
            <w:r>
              <w:rPr>
                <w:rStyle w:val="Fuentedeprrafopredeter"/>
                <w:rFonts w:ascii="Noto Sans" w:hAnsi="Noto Sans"/>
                <w:b/>
                <w:bCs/>
                <w:color w:val="auto"/>
                <w:sz w:val="22"/>
                <w:szCs w:val="22"/>
              </w:rPr>
              <w:t xml:space="preserve"> a més de complir les condicions generals establertes anteriorment, han de tenir un mínim de 7 concerts, que suposin almenys 3 programes diferents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000000"/>
                <w:sz w:val="22"/>
                <w:szCs w:val="22"/>
              </w:rPr>
            </w:pPr>
            <w:r>
              <w:rPr>
                <w:rFonts w:ascii="Noto Sans" w:hAnsi="Noto Sans"/>
                <w:b/>
                <w:bCs/>
                <w:color w:val="000000"/>
                <w:sz w:val="22"/>
                <w:szCs w:val="22"/>
              </w:rPr>
              <w:t>*No són objecte d’aquesta convocatòria i, per tant, en queden exclosos: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2"/>
              </w:numPr>
              <w:tabs>
                <w:tab w:val="clear" w:pos="720"/>
                <w:tab w:val="left" w:pos="-338" w:leader="none"/>
              </w:tabs>
              <w:spacing w:lineRule="auto" w:line="240"/>
              <w:rPr/>
            </w:pPr>
            <w:r>
              <w:rPr>
                <w:rFonts w:ascii="Noto Sans" w:hAnsi="Noto Sans"/>
                <w:b w:val="false"/>
                <w:bCs w:val="false"/>
                <w:color w:val="000000"/>
                <w:sz w:val="20"/>
                <w:szCs w:val="20"/>
                <w:lang w:val="ca-ES" w:eastAsia="zh-CN"/>
              </w:rPr>
              <w:t>Els esdeveniments que no s’hagin fet un mínim de 2 vegades en els darrers 5 anys, abans de la data de publicació de la convocatòria.</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Els cicles de concerts d’un mateix artista o grup musical i les temporades teatrals d’un sol artista.</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Les programacions estables d’un espai d’exhibició.</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Les programacions i els esdeveniments que durin tot l’any.</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ca-ES" w:eastAsia="zh-CN"/>
              </w:rPr>
              <w:t>Les activitats de clubs esportius.</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ca-ES" w:eastAsia="zh-CN"/>
              </w:rPr>
              <w:t>No es poden subvencionar projectes que vulnerin els drets dels col·lectius LGTBI, els drets de les dones o els drets humans.</w:t>
            </w:r>
          </w:p>
          <w:p>
            <w:pPr>
              <w:pStyle w:val="Normal"/>
              <w:numPr>
                <w:ilvl w:val="0"/>
                <w:numId w:val="0"/>
              </w:numPr>
              <w:tabs>
                <w:tab w:val="clear" w:pos="720"/>
                <w:tab w:val="left" w:pos="-338" w:leader="none"/>
              </w:tabs>
              <w:spacing w:lineRule="auto" w:line="240"/>
              <w:ind w:left="720" w:hanging="0"/>
              <w:rPr>
                <w:lang w:val="ca-ES" w:eastAsia="zh-CN"/>
              </w:rPr>
            </w:pPr>
            <w:r>
              <w:rPr>
                <w:lang w:val="ca-ES" w:eastAsia="zh-CN"/>
              </w:rPr>
            </w:r>
          </w:p>
          <w:p>
            <w:pPr>
              <w:pStyle w:val="Normal"/>
              <w:widowControl/>
              <w:numPr>
                <w:ilvl w:val="0"/>
                <w:numId w:val="0"/>
              </w:numPr>
              <w:tabs>
                <w:tab w:val="clear" w:pos="720"/>
                <w:tab w:val="left" w:pos="570" w:leader="none"/>
              </w:tabs>
              <w:overflowPunct w:val="true"/>
              <w:bidi w:val="0"/>
              <w:spacing w:lineRule="auto" w:line="240" w:before="0" w:after="0"/>
              <w:ind w:left="794" w:right="0" w:hanging="0"/>
              <w:jc w:val="left"/>
              <w:rPr>
                <w:rFonts w:ascii="Noto Sans" w:hAnsi="Noto Sans"/>
                <w:b/>
                <w:b/>
                <w:bCs/>
                <w:color w:val="000000"/>
                <w:sz w:val="20"/>
                <w:szCs w:val="20"/>
              </w:rPr>
            </w:pPr>
            <w:r>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35pt;height:7.1pt" type="#shapetype_75"/>
                <w:control r:id="rId2" w:name="mallorca" w:shapeid="control_shape_0"/>
              </w:object>
            </w:r>
            <w:r>
              <w:rPr>
                <w:rFonts w:eastAsia="NSimSun" w:cs="Arial" w:ascii="Noto Sans" w:hAnsi="Noto Sans"/>
                <w:b/>
                <w:bCs/>
                <w:color w:val="000000"/>
                <w:kern w:val="2"/>
                <w:sz w:val="20"/>
                <w:szCs w:val="20"/>
                <w:lang w:val="ca-ES" w:eastAsia="zh-CN" w:bidi="ar-SA"/>
              </w:rPr>
              <w:t xml:space="preserve"> </w:t>
            </w:r>
            <w:r>
              <w:rPr>
                <w:rFonts w:eastAsia="NSimSun" w:cs="Arial" w:ascii="Noto Sans" w:hAnsi="Noto Sans"/>
                <w:b/>
                <w:bCs/>
                <w:color w:val="000000"/>
                <w:kern w:val="2"/>
                <w:sz w:val="20"/>
                <w:szCs w:val="20"/>
                <w:lang w:val="ca-ES" w:eastAsia="zh-CN"/>
              </w:rPr>
              <w:t>Declar que l’esdeveniment objecte de subvenció no entra dins aquestes exclusions.</w:t>
            </w:r>
          </w:p>
        </w:tc>
      </w:tr>
    </w:tbl>
    <w:p>
      <w:pPr>
        <w:pStyle w:val="Cuerpodetexto"/>
        <w:jc w:val="center"/>
        <w:rPr>
          <w:b/>
          <w:b/>
          <w:bCs/>
        </w:rPr>
      </w:pPr>
      <w:r>
        <w:rPr>
          <w:b/>
          <w:bCs/>
        </w:rPr>
      </w:r>
      <w:r>
        <w:br w:type="page"/>
      </w:r>
    </w:p>
    <w:p>
      <w:pPr>
        <w:pStyle w:val="Cuerpodetexto"/>
        <w:jc w:val="center"/>
        <w:rPr>
          <w:rFonts w:ascii="Noto Sans" w:hAnsi="Noto Sans"/>
          <w:sz w:val="28"/>
          <w:szCs w:val="28"/>
        </w:rPr>
      </w:pPr>
      <w:r>
        <w:rPr>
          <w:rFonts w:ascii="Noto Sans" w:hAnsi="Noto Sans"/>
          <w:b/>
          <w:bCs/>
          <w:sz w:val="28"/>
          <w:szCs w:val="28"/>
        </w:rPr>
        <w:t>Memòria del projecte</w:t>
      </w:r>
      <w:r>
        <w:rPr>
          <w:rStyle w:val="Ancladenotaalpie"/>
          <w:rStyle w:val="Ancladenotaalpie"/>
          <w:rFonts w:ascii="Noto Sans" w:hAnsi="Noto Sans"/>
          <w:b/>
          <w:bCs/>
          <w:sz w:val="28"/>
          <w:szCs w:val="28"/>
        </w:rPr>
        <w:footnoteReference w:id="4"/>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OBJECTIUS GENERALS DEL PROJECTE</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bl>
    <w:p>
      <w:pPr>
        <w:pStyle w:val="Normal"/>
        <w:numPr>
          <w:ilvl w:val="0"/>
          <w:numId w:val="0"/>
        </w:numPr>
        <w:spacing w:lineRule="auto" w:line="276" w:before="0" w:after="0"/>
        <w:ind w:left="0" w:hanging="0"/>
        <w:rPr>
          <w:rFonts w:eastAsia="Times New Roman"/>
          <w:b/>
          <w:b/>
          <w:bCs/>
          <w:color w:val="auto"/>
          <w:sz w:val="22"/>
          <w:szCs w:val="22"/>
          <w:lang w:val="ca-ES" w:eastAsia="es-ES"/>
        </w:rPr>
      </w:pPr>
      <w:r>
        <w:rPr>
          <w:rFonts w:eastAsia="Times New Roman"/>
          <w:b/>
          <w:bCs/>
          <w:color w:val="auto"/>
          <w:sz w:val="22"/>
          <w:szCs w:val="22"/>
          <w:lang w:val="ca-ES" w:eastAsia="es-ES"/>
        </w:rPr>
      </w:r>
    </w:p>
    <w:p>
      <w:pPr>
        <w:pStyle w:val="Normal"/>
        <w:numPr>
          <w:ilvl w:val="0"/>
          <w:numId w:val="0"/>
        </w:numPr>
        <w:spacing w:lineRule="auto" w:line="276" w:before="0" w:after="0"/>
        <w:ind w:left="0" w:hanging="0"/>
        <w:rPr>
          <w:rFonts w:ascii="Noto Sans" w:hAnsi="Noto Sans"/>
        </w:rPr>
      </w:pPr>
      <w:r>
        <w:rPr>
          <w:rFonts w:eastAsia="Times New Roman" w:ascii="Noto Sans" w:hAnsi="Noto Sans"/>
          <w:b/>
          <w:bCs/>
          <w:color w:val="auto"/>
          <w:sz w:val="22"/>
          <w:szCs w:val="22"/>
          <w:lang w:val="ca-ES" w:eastAsia="es-ES"/>
        </w:rPr>
        <w:t>12.1.</w:t>
      </w:r>
      <w:r>
        <w:rPr>
          <w:rFonts w:eastAsia="Times New Roman" w:ascii="Noto Sans" w:hAnsi="Noto Sans"/>
          <w:b/>
          <w:bCs/>
          <w:i/>
          <w:iCs/>
          <w:color w:val="auto"/>
          <w:sz w:val="22"/>
          <w:szCs w:val="22"/>
          <w:lang w:val="ca-ES" w:eastAsia="es-ES"/>
        </w:rPr>
        <w:t>a)</w:t>
      </w:r>
      <w:r>
        <w:rPr>
          <w:rFonts w:eastAsia="Times New Roman" w:ascii="Noto Sans" w:hAnsi="Noto Sans"/>
          <w:b/>
          <w:bCs/>
          <w:color w:val="auto"/>
          <w:sz w:val="22"/>
          <w:szCs w:val="22"/>
          <w:lang w:val="ca-ES" w:eastAsia="es-ES"/>
        </w:rPr>
        <w:t xml:space="preserve"> Valoració general del projecte (fins a 65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PROGRAMACIÓ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La programació oficial combina artistes de més d'una illa.</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rPr>
              <w:t>Si hi ha artistes de 2 illes, es valorarà amb 2,5 punts i si n’hi ha de més de dues, amb 5 punts. Si només hi ha artistes d’una illa, 0 punts.</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rPr>
              <w:t xml:space="preserve">S’ha d’indicar la procedència dels artistes, si no, no es valorarà. </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rPr>
              <w:t>Aquests artistes han de sortir a la programació  oficial de l’esdeveniment, si no, no es comptabilitzaran.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Inclou programació internacional.</w:t>
            </w:r>
          </w:p>
          <w:p>
            <w:pPr>
              <w:pStyle w:val="Normal"/>
              <w:widowControl/>
              <w:suppressAutoHyphens w:val="true"/>
              <w:bidi w:val="0"/>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Aquest ítem és graduable com més percentatge d’artistes internacionals (o de més importància/prestigi), més puntuació s’atorgarà.</w:t>
            </w:r>
          </w:p>
          <w:p>
            <w:pPr>
              <w:pStyle w:val="Normal"/>
              <w:widowControl/>
              <w:suppressAutoHyphens w:val="true"/>
              <w:bidi w:val="0"/>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S’ha d’indicar la procedència dels artistes, si no, no es valorarà.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 xml:space="preserve">La programació combina artistes emergents i consolidats. </w:t>
            </w:r>
          </w:p>
          <w:p>
            <w:pPr>
              <w:pStyle w:val="Normal"/>
              <w:widowControl/>
              <w:suppressAutoHyphens w:val="true"/>
              <w:bidi w:val="0"/>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Per ‘emergents’ entenem artistes, grups o companyies joves o amb poca trajectòria. Per ‘autors consolidats’ entenem artistes (o grups o companyies) amb una trajectòria més llarga i amb un cert renom, més coneguts dins i fora de les Balears.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L’esdeveniment fomenta la professionalització dels artistes balears contractats.</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Per ‘professionalització’ entenem que els artistes locals puguin viure de la seva activitat artística, és a dir, que es paguin uns honoraris adequats o que d’alguna manera se’ls ajudi a professionalitzar-se (amb xerrades, tallers, </w:t>
            </w:r>
            <w:r>
              <w:rPr>
                <w:rFonts w:eastAsia="Noto Sans" w:cs="Noto Sans" w:ascii="Noto Sans" w:hAnsi="Noto Sans"/>
                <w:b w:val="false"/>
                <w:bCs/>
                <w:i/>
                <w:iCs/>
                <w:strike w:val="false"/>
                <w:dstrike w:val="false"/>
                <w:outline w:val="false"/>
                <w:shadow w:val="false"/>
                <w:color w:val="auto"/>
                <w:kern w:val="2"/>
                <w:sz w:val="17"/>
                <w:szCs w:val="20"/>
                <w:u w:val="none"/>
                <w:em w:val="none"/>
                <w:lang w:val="ca-ES" w:eastAsia="zh-CN" w:bidi="hi-IN"/>
              </w:rPr>
              <w:t>masterclasses</w:t>
            </w:r>
            <w:r>
              <w:rPr>
                <w:rFonts w:eastAsia="Noto Sans" w:cs="Noto Sans" w:ascii="Noto Sans" w:hAnsi="Noto Sans"/>
                <w:b w:val="false"/>
                <w:bCs/>
                <w:i w:val="false"/>
                <w:iCs w:val="false"/>
                <w:strike w:val="false"/>
                <w:dstrike w:val="false"/>
                <w:outline w:val="false"/>
                <w:shadow w:val="false"/>
                <w:color w:val="auto"/>
                <w:kern w:val="2"/>
                <w:sz w:val="17"/>
                <w:szCs w:val="20"/>
                <w:u w:val="none"/>
                <w:em w:val="none"/>
                <w:lang w:val="ca-ES" w:eastAsia="zh-CN" w:bidi="hi-IN"/>
              </w:rPr>
              <w:t>, etc.</w:t>
            </w: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rPr>
            </w:pPr>
            <w:r>
              <w:rPr>
                <w:rFonts w:ascii="Noto Sans" w:hAnsi="Noto Sans"/>
                <w:b/>
                <w:bCs/>
                <w:sz w:val="20"/>
                <w:szCs w:val="20"/>
              </w:rPr>
              <w:t>PROGRAMA PROFESSIONAL</w:t>
            </w:r>
          </w:p>
          <w:p>
            <w:pPr>
              <w:pStyle w:val="Contingutdelataula"/>
              <w:jc w:val="center"/>
              <w:rPr>
                <w:b w:val="false"/>
                <w:b w:val="false"/>
                <w:bCs w:val="false"/>
              </w:rPr>
            </w:pPr>
            <w:r>
              <w:rPr>
                <w:rFonts w:ascii="Noto Sans" w:hAnsi="Noto Sans"/>
                <w:b w:val="false"/>
                <w:bCs w:val="false"/>
                <w:sz w:val="20"/>
                <w:szCs w:val="20"/>
              </w:rPr>
              <w:t xml:space="preserve">Només es tendrà en compte per «programa professional» les activitats dirigides </w:t>
            </w:r>
            <w:r>
              <w:rPr>
                <w:rFonts w:ascii="Noto Sans" w:hAnsi="Noto Sans"/>
                <w:b w:val="false"/>
                <w:bCs w:val="false"/>
                <w:sz w:val="20"/>
                <w:szCs w:val="20"/>
                <w:u w:val="single"/>
              </w:rPr>
              <w:t>exclusivament</w:t>
            </w:r>
            <w:r>
              <w:rPr>
                <w:rFonts w:ascii="Noto Sans" w:hAnsi="Noto Sans"/>
                <w:b w:val="false"/>
                <w:bCs w:val="false"/>
                <w:sz w:val="20"/>
                <w:szCs w:val="20"/>
              </w:rPr>
              <w:t xml:space="preserve"> a un públic professional  amb l’objectiu de servir de font d’intercanvi de coneixements, espai de trobada d’artistes amb programadors, professionalització dels artistes locals, etc. (Taules rodones, masterclasses, conferències per a professionals, speedmeetings...). Ha de ser un </w:t>
            </w:r>
            <w:r>
              <w:rPr>
                <w:rFonts w:ascii="Noto Sans" w:hAnsi="Noto Sans"/>
                <w:b w:val="false"/>
                <w:bCs w:val="false"/>
                <w:sz w:val="20"/>
                <w:szCs w:val="20"/>
                <w:u w:val="single"/>
              </w:rPr>
              <w:t>espai de sinergies entre professionals i artistes de dins i  de fora de les Illes Balears.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rPr>
            </w:pPr>
            <w:r>
              <w:rPr>
                <w:rFonts w:ascii="Noto Sans" w:hAnsi="Noto Sans"/>
                <w:b/>
                <w:bCs/>
                <w:sz w:val="20"/>
                <w:szCs w:val="20"/>
              </w:rPr>
              <w:t>Trajectòria dels ponents i convidats</w:t>
            </w:r>
          </w:p>
          <w:p>
            <w:pPr>
              <w:pStyle w:val="Normal"/>
              <w:jc w:val="left"/>
              <w:rPr>
                <w:rFonts w:ascii="Noto Sans" w:hAnsi="Noto Sans"/>
                <w:b/>
                <w:b/>
                <w:bCs/>
                <w:sz w:val="20"/>
                <w:szCs w:val="20"/>
              </w:rPr>
            </w:pPr>
            <w:r>
              <w:rPr>
                <w:rFonts w:ascii="Noto Sans" w:hAnsi="Noto Sans"/>
                <w:b/>
                <w:bCs/>
                <w:sz w:val="20"/>
                <w:szCs w:val="20"/>
              </w:rPr>
            </w:r>
          </w:p>
          <w:p>
            <w:pPr>
              <w:pStyle w:val="Normal"/>
              <w:jc w:val="left"/>
              <w:rPr>
                <w:rFonts w:ascii="Noto Sans" w:hAnsi="Noto Sans"/>
              </w:rPr>
            </w:pPr>
            <w:r>
              <w:rPr>
                <w:rFonts w:eastAsia="NSimSun" w:cs="Arial" w:ascii="Noto Sans" w:hAnsi="Noto Sans"/>
                <w:b w:val="false"/>
                <w:bCs w:val="false"/>
                <w:color w:val="auto"/>
                <w:kern w:val="2"/>
                <w:sz w:val="17"/>
                <w:szCs w:val="17"/>
                <w:lang w:val="ca-ES" w:eastAsia="zh-CN" w:bidi="hi-IN"/>
              </w:rPr>
              <w:t>Adjuntau la llist</w:t>
            </w:r>
            <w:r>
              <w:rPr>
                <w:rFonts w:ascii="Noto Sans" w:hAnsi="Noto Sans"/>
                <w:b w:val="false"/>
                <w:bCs w:val="false"/>
                <w:sz w:val="17"/>
                <w:szCs w:val="17"/>
              </w:rPr>
              <w:t xml:space="preserve">a dels professionals que hi participen (programadors, distribuïdors, productors, gestors i mediadors culturals, comissaris, crítics, etc.), en què es distingeixin de manera clara els que són de fora de les Illes Balears. </w:t>
            </w:r>
            <w:r>
              <w:rPr>
                <w:rFonts w:ascii="Noto Sans" w:hAnsi="Noto Sans"/>
                <w:b w:val="false"/>
                <w:bCs w:val="false"/>
                <w:i w:val="false"/>
                <w:iCs w:val="false"/>
                <w:sz w:val="17"/>
                <w:szCs w:val="17"/>
              </w:rPr>
              <w:t>En cas de no disposar de la llista de l'edició actual, cal adjuntar la de l'edició anterior o una previsió dels convidats.</w:t>
            </w:r>
          </w:p>
          <w:p>
            <w:pPr>
              <w:pStyle w:val="Normal"/>
              <w:jc w:val="right"/>
              <w:rPr>
                <w:rFonts w:ascii="Noto Sans" w:hAnsi="Noto Sans"/>
                <w:b w:val="false"/>
                <w:b w:val="false"/>
                <w:bCs w:val="false"/>
                <w:i w:val="false"/>
                <w:i w:val="false"/>
                <w:iCs w:val="false"/>
                <w:sz w:val="16"/>
                <w:szCs w:val="16"/>
              </w:rPr>
            </w:pPr>
            <w:r>
              <w:rPr>
                <w:rFonts w:ascii="Noto Sans" w:hAnsi="Noto Sans"/>
                <w:b w:val="false"/>
                <w:bCs w:val="false"/>
                <w:i w:val="false"/>
                <w:iCs w:val="false"/>
                <w:sz w:val="16"/>
                <w:szCs w:val="16"/>
              </w:rPr>
            </w:r>
          </w:p>
          <w:p>
            <w:pPr>
              <w:pStyle w:val="Normal"/>
              <w:jc w:val="left"/>
              <w:rPr>
                <w:rFonts w:ascii="Noto Sans" w:hAnsi="Noto Sans"/>
              </w:rPr>
            </w:pPr>
            <w:r>
              <w:rPr>
                <w:rFonts w:ascii="Noto Sans" w:hAnsi="Noto Sans"/>
                <w:b w:val="false"/>
                <w:bCs w:val="false"/>
                <w:i w:val="false"/>
                <w:iCs w:val="false"/>
                <w:sz w:val="17"/>
                <w:szCs w:val="17"/>
              </w:rPr>
              <w:t xml:space="preserve">Es tendrà en </w:t>
            </w:r>
            <w:r>
              <w:rPr>
                <w:rFonts w:ascii="Noto Sans" w:hAnsi="Noto Sans"/>
                <w:b w:val="false"/>
                <w:bCs w:val="false"/>
                <w:i w:val="false"/>
                <w:iCs w:val="false"/>
                <w:sz w:val="17"/>
                <w:szCs w:val="17"/>
                <w:u w:val="single"/>
              </w:rPr>
              <w:t>compte</w:t>
            </w:r>
            <w:r>
              <w:rPr>
                <w:rFonts w:ascii="Noto Sans" w:hAnsi="Noto Sans"/>
                <w:b w:val="false"/>
                <w:bCs w:val="false"/>
                <w:i w:val="false"/>
                <w:iCs w:val="false"/>
                <w:sz w:val="17"/>
                <w:szCs w:val="17"/>
              </w:rPr>
              <w:t xml:space="preserve"> la trajectòria, prestigi o importància dels ponents i la coherència de la seva participació dins l’esdeveniment.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Activitats plantejades per a professionals</w:t>
            </w:r>
          </w:p>
          <w:p>
            <w:pPr>
              <w:pStyle w:val="Normal"/>
              <w:rPr>
                <w:rFonts w:ascii="Noto Sans" w:hAnsi="Noto Sans"/>
                <w:b/>
                <w:b/>
                <w:bCs/>
                <w:sz w:val="17"/>
                <w:szCs w:val="17"/>
              </w:rPr>
            </w:pPr>
            <w:r>
              <w:rPr>
                <w:rFonts w:ascii="Noto Sans" w:hAnsi="Noto Sans"/>
                <w:b/>
                <w:bCs/>
                <w:sz w:val="17"/>
                <w:szCs w:val="17"/>
              </w:rPr>
            </w:r>
          </w:p>
          <w:p>
            <w:pPr>
              <w:pStyle w:val="Normal"/>
              <w:rPr>
                <w:sz w:val="17"/>
                <w:szCs w:val="17"/>
              </w:rPr>
            </w:pPr>
            <w:r>
              <w:rPr>
                <w:rFonts w:ascii="Noto Sans" w:hAnsi="Noto Sans"/>
                <w:b w:val="false"/>
                <w:bCs w:val="false"/>
                <w:sz w:val="17"/>
                <w:szCs w:val="17"/>
                <w:u w:val="none"/>
              </w:rPr>
              <w:t>Adjuntau el programa de les Jornades Professionals. E</w:t>
            </w:r>
            <w:r>
              <w:rPr>
                <w:rFonts w:ascii="Noto Sans" w:hAnsi="Noto Sans"/>
                <w:b w:val="false"/>
                <w:bCs w:val="false"/>
                <w:i w:val="false"/>
                <w:iCs w:val="false"/>
                <w:sz w:val="17"/>
                <w:szCs w:val="17"/>
                <w:u w:val="none"/>
              </w:rPr>
              <w:t>n cas de no disposar del programa d’enguany, cal adjuntar la de l'edició anterior i una previsió de les activitats previstes per a 2026-2027.</w:t>
            </w:r>
          </w:p>
          <w:p>
            <w:pPr>
              <w:pStyle w:val="Normal"/>
              <w:jc w:val="right"/>
              <w:rPr>
                <w:rFonts w:ascii="Noto Sans" w:hAnsi="Noto Sans"/>
                <w:b w:val="false"/>
                <w:b w:val="false"/>
                <w:bCs w:val="false"/>
                <w:i w:val="false"/>
                <w:i w:val="false"/>
                <w:iCs w:val="false"/>
                <w:u w:val="none"/>
              </w:rPr>
            </w:pPr>
            <w:r>
              <w:rPr>
                <w:rFonts w:ascii="Noto Sans" w:hAnsi="Noto Sans"/>
                <w:b w:val="false"/>
                <w:bCs w:val="false"/>
                <w:i w:val="false"/>
                <w:iCs w:val="false"/>
                <w:u w:val="none"/>
              </w:rPr>
            </w:r>
          </w:p>
          <w:p>
            <w:pPr>
              <w:pStyle w:val="Normal"/>
              <w:jc w:val="left"/>
              <w:rPr>
                <w:rFonts w:ascii="Noto Sans" w:hAnsi="Noto Sans" w:eastAsia="NSimSun" w:cs="Arial"/>
                <w:b w:val="false"/>
                <w:b w:val="false"/>
                <w:bCs w:val="false"/>
                <w:i w:val="false"/>
                <w:i w:val="false"/>
                <w:iCs w:val="false"/>
                <w:color w:val="auto"/>
                <w:kern w:val="2"/>
                <w:sz w:val="17"/>
                <w:szCs w:val="17"/>
                <w:lang w:val="ca-ES" w:eastAsia="zh-CN" w:bidi="hi-IN"/>
              </w:rPr>
            </w:pPr>
            <w:r>
              <w:rPr>
                <w:rFonts w:eastAsia="NSimSun" w:cs="Arial" w:ascii="Noto Sans" w:hAnsi="Noto Sans"/>
                <w:b w:val="false"/>
                <w:bCs w:val="false"/>
                <w:i w:val="false"/>
                <w:iCs w:val="false"/>
                <w:color w:val="auto"/>
                <w:kern w:val="2"/>
                <w:sz w:val="17"/>
                <w:szCs w:val="17"/>
                <w:lang w:val="ca-ES" w:eastAsia="zh-CN" w:bidi="hi-IN"/>
              </w:rPr>
              <w:t>Es puntuaran les activitats segons el nivell d’interès o importància dins la disciplina de la qual tracta el festival, si són activitats útils pels artistes locals o si es crea o no un espai d’intercanvi i sinergies entre artistes balears i professionals de fora.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u w:val="single"/>
              </w:rPr>
            </w:pPr>
            <w:r>
              <w:rPr>
                <w:rFonts w:ascii="Noto Sans" w:hAnsi="Noto Sans"/>
                <w:sz w:val="20"/>
                <w:szCs w:val="20"/>
                <w:u w:val="single"/>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POTENCIAL DE PROJECCIÓ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L'esdeveniment compta amb un pla de comunicació d'abast nacional i/o internacional.</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val="false"/>
                <w:color w:val="auto"/>
                <w:sz w:val="17"/>
                <w:szCs w:val="17"/>
              </w:rPr>
              <w:t>S’ha de presentar el pla de comunicació de l’esdeveniment on s’indiquin els objectius generals, públics objectius, canals que s’empraran per a fer la difusió, quines accions es duran a terme, un calendari, etc. En cas que no hi càpiga en aquest document, presentau-lo com a annex</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2438"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0" w:after="0"/>
              <w:ind w:left="0" w:right="0" w:hanging="0"/>
              <w:jc w:val="left"/>
              <w:rPr>
                <w:rFonts w:ascii="Noto Sans" w:hAnsi="Noto Sans"/>
              </w:rPr>
            </w:pPr>
            <w:r>
              <w:rPr>
                <w:rFonts w:eastAsia="Noto Sans" w:cs="Noto Sans" w:ascii="Noto Sans" w:hAnsi="Noto Sans"/>
                <w:b/>
                <w:bCs/>
                <w:color w:val="auto"/>
                <w:sz w:val="20"/>
                <w:szCs w:val="20"/>
              </w:rPr>
              <w:t>Projecció nacional o internacional del projecte i repercussió en els artistes balears.</w:t>
            </w:r>
          </w:p>
          <w:p>
            <w:pPr>
              <w:pStyle w:val="Normal"/>
              <w:widowControl/>
              <w:suppressAutoHyphens w:val="true"/>
              <w:bidi w:val="0"/>
              <w:spacing w:lineRule="auto" w:line="276" w:before="0" w:after="0"/>
              <w:ind w:left="0" w:right="0" w:hanging="0"/>
              <w:jc w:val="left"/>
              <w:rPr>
                <w:b w:val="false"/>
                <w:b w:val="false"/>
                <w:bCs w:val="false"/>
                <w:sz w:val="17"/>
                <w:szCs w:val="17"/>
              </w:rPr>
            </w:pPr>
            <w:r>
              <w:rPr>
                <w:rFonts w:eastAsia="Noto Sans" w:cs="Noto Sans" w:ascii="Noto Sans" w:hAnsi="Noto Sans"/>
                <w:b w:val="false"/>
                <w:bCs w:val="false"/>
                <w:color w:val="auto"/>
                <w:sz w:val="17"/>
                <w:szCs w:val="17"/>
              </w:rPr>
              <w:t>S’ha d’indicar quina projecció fora de les Illes Balears té l’esdeveniment. Podeu adjuntar, per exemple, notícies de mitjans de fora de Balears, projectes fets amb organismes de fora de balears, participació a fires professionals,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L’esdeveniment assoleix la projecció exterior dels artistes balears: intercanvis d’artistes balears amb altres esdeveniments similars, aconsegueix contractació dels artistes balears per tocar fora de l’illa de residència...</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val="false"/>
                <w:color w:val="auto"/>
                <w:kern w:val="2"/>
                <w:sz w:val="17"/>
                <w:szCs w:val="17"/>
                <w:lang w:val="ca-ES" w:eastAsia="zh-CN" w:bidi="hi-IN"/>
              </w:rPr>
              <w:t xml:space="preserve">Aquí es tendran en compte només fets reals, és a dir intercanvis i altres accions de projecció exterior d’artistes balears que s’hagin assolit.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highlight w:val="white"/>
                <w:lang w:val="ca-ES" w:eastAsia="en-US"/>
              </w:rPr>
            </w:pPr>
            <w:r>
              <w:rPr>
                <w:rFonts w:eastAsia="Noto Sans" w:cs="Noto Sans" w:ascii="Noto Sans" w:hAnsi="Noto Sans"/>
                <w:b/>
                <w:bCs/>
                <w:i w:val="false"/>
                <w:strike w:val="false"/>
                <w:dstrike w:val="false"/>
                <w:outline w:val="false"/>
                <w:shadow w:val="false"/>
                <w:color w:val="auto"/>
                <w:sz w:val="20"/>
                <w:szCs w:val="20"/>
                <w:highlight w:val="white"/>
                <w:u w:val="none"/>
                <w:em w:val="none"/>
                <w:lang w:val="ca-ES" w:eastAsia="en-US"/>
              </w:rPr>
              <w:t xml:space="preserve">Creació d'audiències. </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val="false"/>
                <w:i w:val="false"/>
                <w:strike w:val="false"/>
                <w:dstrike w:val="false"/>
                <w:outline w:val="false"/>
                <w:shadow w:val="false"/>
                <w:color w:val="auto"/>
                <w:sz w:val="17"/>
                <w:szCs w:val="17"/>
                <w:highlight w:val="white"/>
                <w:u w:val="none"/>
                <w:em w:val="none"/>
                <w:lang w:val="ca-ES" w:eastAsia="en-US"/>
              </w:rPr>
              <w:t xml:space="preserve">Indicau si l’esdeveniment ha augmentat de públic al llarg de les diverses edicions i explicau les accions plantejades per arribar a nous públics.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INTERÈS CULTURAL DE L’ESDEVENIMENT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Originalitat i capacitat innovadora de l’esdeveniment.</w:t>
            </w:r>
          </w:p>
          <w:p>
            <w:pPr>
              <w:pStyle w:val="Normal"/>
              <w:widowControl/>
              <w:spacing w:lineRule="auto" w:line="288" w:before="0" w:after="0"/>
              <w:ind w:left="0" w:right="0" w:hanging="0"/>
              <w:jc w:val="left"/>
              <w:rPr>
                <w:b w:val="false"/>
                <w:b w:val="false"/>
                <w:bCs w:val="false"/>
                <w:sz w:val="17"/>
                <w:szCs w:val="17"/>
              </w:rPr>
            </w:pPr>
            <w:r>
              <w:rPr>
                <w:rFonts w:ascii="Noto Sans" w:hAnsi="Noto Sans"/>
                <w:b w:val="false"/>
                <w:bCs w:val="false"/>
                <w:i w:val="false"/>
                <w:caps w:val="false"/>
                <w:smallCaps w:val="false"/>
                <w:strike w:val="false"/>
                <w:dstrike w:val="false"/>
                <w:color w:val="000000"/>
                <w:position w:val="0"/>
                <w:sz w:val="17"/>
                <w:sz w:val="17"/>
                <w:szCs w:val="17"/>
                <w:u w:val="none"/>
                <w:vertAlign w:val="baseline"/>
              </w:rPr>
              <w:t>Es tendrà en compte, quines accions innovadores es duen a terme, com s’aconsegueix destacar aquest esdeveniment en comparació amb esdeveniments similars.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Qualitat del projecte.</w:t>
            </w:r>
          </w:p>
          <w:p>
            <w:pPr>
              <w:pStyle w:val="Normal"/>
              <w:widowControl/>
              <w:spacing w:lineRule="auto" w:line="288" w:before="0" w:after="0"/>
              <w:ind w:left="0" w:right="0" w:hanging="0"/>
              <w:jc w:val="left"/>
              <w:rPr>
                <w:b w:val="false"/>
                <w:b w:val="false"/>
                <w:bCs w:val="false"/>
                <w:sz w:val="17"/>
                <w:szCs w:val="17"/>
              </w:rPr>
            </w:pPr>
            <w:r>
              <w:rPr>
                <w:rFonts w:ascii="Noto Sans" w:hAnsi="Noto Sans"/>
                <w:b w:val="false"/>
                <w:bCs w:val="false"/>
                <w:i w:val="false"/>
                <w:caps w:val="false"/>
                <w:smallCaps w:val="false"/>
                <w:strike w:val="false"/>
                <w:dstrike w:val="false"/>
                <w:color w:val="000000"/>
                <w:position w:val="0"/>
                <w:sz w:val="17"/>
                <w:sz w:val="17"/>
                <w:szCs w:val="17"/>
                <w:u w:val="none"/>
                <w:vertAlign w:val="baseline"/>
              </w:rPr>
              <w:t>Es tendrà en compte la qualitat artística i tècnica de l’esdeveniment, la professionalitat de l’organització, el tracte als artistes i al públic,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 xml:space="preserve">Coherència en el plantejament i dels continguts artístics i tècnics. </w:t>
            </w:r>
          </w:p>
          <w:p>
            <w:pPr>
              <w:pStyle w:val="Normal"/>
              <w:widowControl/>
              <w:spacing w:lineRule="auto" w:line="288" w:before="0" w:after="0"/>
              <w:ind w:left="0" w:right="0" w:hanging="0"/>
              <w:jc w:val="left"/>
              <w:rPr>
                <w:rFonts w:ascii="Noto Sans" w:hAnsi="Noto Sans" w:eastAsia="NSimSun" w:cs="Arial"/>
                <w:b w:val="false"/>
                <w:b w:val="false"/>
                <w:bCs w:val="false"/>
                <w:i w:val="false"/>
                <w:i w:val="false"/>
                <w:caps w:val="false"/>
                <w:smallCaps w:val="false"/>
                <w:strike w:val="false"/>
                <w:dstrike w:val="false"/>
                <w:color w:val="000000"/>
                <w:kern w:val="2"/>
                <w:position w:val="0"/>
                <w:sz w:val="24"/>
                <w:sz w:val="17"/>
                <w:szCs w:val="17"/>
                <w:u w:val="none"/>
                <w:vertAlign w:val="baseline"/>
                <w:lang w:val="ca-ES" w:eastAsia="zh-CN" w:bidi="hi-IN"/>
              </w:rPr>
            </w:pPr>
            <w:r>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ca-ES" w:eastAsia="zh-CN" w:bidi="hi-IN"/>
              </w:rPr>
              <w:t>Es tendrà en compte si hi ha coherència entre els objectius generals del projecte i les activitats programades.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Contribució al panorama artístic actual.</w:t>
            </w:r>
          </w:p>
          <w:p>
            <w:pPr>
              <w:pStyle w:val="Normal"/>
              <w:widowControl/>
              <w:spacing w:lineRule="auto" w:line="288" w:before="0" w:after="0"/>
              <w:ind w:left="0" w:right="0" w:hanging="0"/>
              <w:jc w:val="left"/>
              <w:rPr>
                <w:rFonts w:ascii="Noto Sans" w:hAnsi="Noto Sans"/>
              </w:rPr>
            </w:pPr>
            <w:r>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ca-ES" w:eastAsia="zh-CN" w:bidi="hi-IN"/>
              </w:rPr>
              <w:t>Es tendrà en compte la contribució de l’esdeveniment dins la disciplina artística en qüestió i dins el panorama artístic balear.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ANTIGUITAT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rPr>
            </w:pPr>
            <w:r>
              <w:rPr>
                <w:rFonts w:eastAsia="Noto Sans" w:cs="Noto Sans" w:ascii="Noto Sans" w:hAnsi="Noto Sans"/>
                <w:b/>
                <w:bCs/>
                <w:sz w:val="20"/>
                <w:szCs w:val="20"/>
              </w:rPr>
              <w:t>Es puntuarà amb 1 punt per edició anterior a la publicació de la convocatòria</w:t>
            </w:r>
          </w:p>
          <w:p>
            <w:pPr>
              <w:pStyle w:val="Normal"/>
              <w:widowControl/>
              <w:spacing w:lineRule="auto" w:line="240" w:before="55" w:after="0"/>
              <w:ind w:left="0" w:right="0" w:hanging="0"/>
              <w:jc w:val="left"/>
              <w:rPr>
                <w:b w:val="false"/>
                <w:b w:val="false"/>
                <w:bCs w:val="false"/>
                <w:sz w:val="17"/>
                <w:szCs w:val="17"/>
              </w:rPr>
            </w:pPr>
            <w:r>
              <w:rPr>
                <w:rFonts w:eastAsia="Noto Sans" w:cs="Noto Sans" w:ascii="Noto Sans" w:hAnsi="Noto Sans"/>
                <w:b w:val="false"/>
                <w:bCs w:val="false"/>
                <w:sz w:val="17"/>
                <w:szCs w:val="17"/>
              </w:rPr>
              <w:t>Es tendrà en compte l’antiguitat del festival amb el nom i el format actuals i ubicat a les Illes Balears. Si és un festival que s’ha dut a terme en altres comunitats, no es tindran en compte aquestes edicions.</w:t>
            </w:r>
          </w:p>
          <w:p>
            <w:pPr>
              <w:pStyle w:val="Normal"/>
              <w:widowControl/>
              <w:spacing w:lineRule="auto" w:line="240" w:before="55" w:after="0"/>
              <w:ind w:left="283" w:right="0" w:hanging="0"/>
              <w:jc w:val="right"/>
              <w:rPr>
                <w:rFonts w:ascii="Noto Sans" w:hAnsi="Noto Sans" w:eastAsia="Noto Sans" w:cs="Noto Sans"/>
                <w:b/>
                <w:b/>
                <w:bCs/>
                <w:sz w:val="20"/>
                <w:szCs w:val="20"/>
              </w:rPr>
            </w:pPr>
            <w:r>
              <w:rPr>
                <w:rFonts w:eastAsia="Noto Sans" w:cs="Noto Sans" w:ascii="Noto Sans" w:hAnsi="Noto Sans"/>
                <w:b/>
                <w:bCs/>
                <w:i/>
                <w:iCs/>
                <w:sz w:val="20"/>
                <w:szCs w:val="20"/>
              </w:rPr>
              <w:t xml:space="preserve">Adjuntau un </w:t>
            </w:r>
            <w:r>
              <w:rPr>
                <w:rFonts w:eastAsia="Noto Sans" w:cs="Noto Sans" w:ascii="Noto Sans" w:hAnsi="Noto Sans"/>
                <w:b/>
                <w:bCs/>
                <w:i/>
                <w:iCs/>
                <w:sz w:val="20"/>
                <w:szCs w:val="20"/>
                <w:u w:val="single"/>
              </w:rPr>
              <w:t>breu</w:t>
            </w:r>
            <w:r>
              <w:rPr>
                <w:rFonts w:eastAsia="Noto Sans" w:cs="Noto Sans" w:ascii="Noto Sans" w:hAnsi="Noto Sans"/>
                <w:b/>
                <w:bCs/>
                <w:i/>
                <w:iCs/>
                <w:sz w:val="20"/>
                <w:szCs w:val="20"/>
              </w:rPr>
              <w:t xml:space="preserve"> resum de les edicions anteriors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uerpodetexto"/>
        <w:rPr>
          <w:rFonts w:ascii="Noto Sans" w:hAnsi="Noto Sans"/>
          <w:b/>
          <w:b/>
          <w:bCs/>
          <w:sz w:val="22"/>
          <w:szCs w:val="22"/>
        </w:rPr>
      </w:pPr>
      <w:r>
        <w:rPr>
          <w:rFonts w:ascii="Noto Sans" w:hAnsi="Noto Sans"/>
          <w:b/>
          <w:bCs/>
          <w:sz w:val="22"/>
          <w:szCs w:val="22"/>
        </w:rPr>
      </w:r>
      <w:r>
        <w:br w:type="page"/>
      </w:r>
    </w:p>
    <w:p>
      <w:pPr>
        <w:pStyle w:val="Cuerpodetexto"/>
        <w:rPr/>
      </w:pPr>
      <w:r>
        <w:rPr>
          <w:rFonts w:ascii="Noto Sans" w:hAnsi="Noto Sans"/>
          <w:b/>
          <w:bCs/>
          <w:sz w:val="22"/>
          <w:szCs w:val="22"/>
        </w:rPr>
        <w:t>12.1.b) Sostenibilitat (fins a 35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SOSTENIBILITAT ECONÒMICA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Adequació del pressupost presentat a l’activitat realitzada.</w:t>
            </w:r>
          </w:p>
          <w:p>
            <w:pPr>
              <w:pStyle w:val="Normal"/>
              <w:rPr>
                <w:b w:val="false"/>
                <w:b w:val="false"/>
                <w:bCs w:val="false"/>
                <w:sz w:val="17"/>
                <w:szCs w:val="17"/>
              </w:rPr>
            </w:pPr>
            <w:r>
              <w:rPr>
                <w:rFonts w:ascii="Noto Sans" w:hAnsi="Noto Sans"/>
                <w:b w:val="false"/>
                <w:bCs w:val="false"/>
                <w:sz w:val="17"/>
                <w:szCs w:val="17"/>
              </w:rPr>
              <w:t>Es valorarà l’import pressupostat en contraposició amb les activitats programades.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Equilibri entre el finançament públic i privat.</w:t>
            </w:r>
          </w:p>
          <w:p>
            <w:pPr>
              <w:pStyle w:val="Normal"/>
              <w:rPr>
                <w:b w:val="false"/>
                <w:b w:val="false"/>
                <w:bCs w:val="false"/>
                <w:sz w:val="17"/>
                <w:szCs w:val="17"/>
              </w:rPr>
            </w:pPr>
            <w:r>
              <w:rPr>
                <w:rFonts w:ascii="Noto Sans" w:hAnsi="Noto Sans"/>
                <w:b w:val="false"/>
                <w:bCs w:val="false"/>
                <w:sz w:val="17"/>
                <w:szCs w:val="17"/>
              </w:rPr>
              <w:t>Es valorarà que l’esdeveniment tengui diverses fonts de finançament a part dels ajuts públics, que garanteixin l’estabilitat econòmica del projecte. Es tendran en compte les fonts de finançament privat: aportacions d’ens privats, patrocinis, els recursos propis del sol·licitant i altres ingressos.</w:t>
            </w:r>
          </w:p>
          <w:p>
            <w:pPr>
              <w:pStyle w:val="Normal"/>
              <w:rPr>
                <w:b w:val="false"/>
                <w:b w:val="false"/>
                <w:bCs w:val="false"/>
                <w:sz w:val="17"/>
                <w:szCs w:val="17"/>
              </w:rPr>
            </w:pPr>
            <w:r>
              <w:rPr>
                <w:rFonts w:ascii="Noto Sans" w:hAnsi="Noto Sans"/>
                <w:b w:val="false"/>
                <w:bCs w:val="false"/>
                <w:sz w:val="17"/>
                <w:szCs w:val="17"/>
              </w:rPr>
              <w:t>Tota aquesta informació ha de quedar plasmada també al pla de patrocinis i finançament presentat juntament amb la sol·licitud.</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Nivell d’ingressos generat per l’activitat.</w:t>
            </w:r>
          </w:p>
          <w:p>
            <w:pPr>
              <w:pStyle w:val="Normal"/>
              <w:rPr>
                <w:b w:val="false"/>
                <w:b w:val="false"/>
                <w:bCs w:val="false"/>
                <w:sz w:val="17"/>
                <w:szCs w:val="17"/>
              </w:rPr>
            </w:pPr>
            <w:r>
              <w:rPr>
                <w:rFonts w:ascii="Noto Sans" w:hAnsi="Noto Sans"/>
                <w:b w:val="false"/>
                <w:bCs w:val="false"/>
                <w:sz w:val="17"/>
                <w:szCs w:val="17"/>
              </w:rPr>
              <w:t>Es valorarà que l’esdeveniment generi ingressos per tal de garantir la sostenibilitat econòmica de l’esdeveniment. Com més fonts d’ingressos generi l’esdeveniment, més sostenibilitat té, i, per tant, més puntuació obtindrà.</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AMBIENTAL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0"/>
                <w:szCs w:val="20"/>
              </w:rPr>
              <w:t>Accions que afavoreixin la reducció de la petjada ecològica de l’esdeveniment</w:t>
            </w:r>
          </w:p>
          <w:p>
            <w:pPr>
              <w:pStyle w:val="Normal"/>
              <w:jc w:val="left"/>
              <w:rPr/>
            </w:pPr>
            <w:r>
              <w:rPr>
                <w:rFonts w:ascii="Noto Sans" w:hAnsi="Noto Sans"/>
                <w:b w:val="false"/>
                <w:bCs w:val="false"/>
                <w:sz w:val="17"/>
                <w:szCs w:val="17"/>
              </w:rPr>
              <w:t>Es tendrà en compte que l’esdeveniment tengui una baixa petjada de carboni, compensació de la petjada de carboni dels vols, no utilització de materials d’un sol ús, gestió sostenible de residus, accions per reduir el consum d’aigua, millora de l’eficiència energètica, ús d’energies renovables, certificació ecològica, consum de productes ecològics i locals, foment del transport públic...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ca-ES" w:eastAsia="zh-CN" w:bidi="hi-IN"/>
              </w:rPr>
              <w:t>Esdeveniments que tenen una certificació ecològica</w:t>
            </w:r>
          </w:p>
          <w:p>
            <w:pPr>
              <w:pStyle w:val="Normal"/>
              <w:jc w:val="left"/>
              <w:rPr>
                <w:rFonts w:ascii="Noto Sans" w:hAnsi="Noto Sans" w:eastAsia="NSimSun" w:cs="Arial"/>
                <w:b w:val="false"/>
                <w:b w:val="false"/>
                <w:bCs w:val="false"/>
                <w:color w:val="auto"/>
                <w:kern w:val="2"/>
                <w:sz w:val="17"/>
                <w:szCs w:val="17"/>
                <w:lang w:val="ca-ES" w:eastAsia="zh-CN" w:bidi="hi-IN"/>
              </w:rPr>
            </w:pPr>
            <w:r>
              <w:rPr>
                <w:rFonts w:eastAsia="NSimSun" w:cs="Arial" w:ascii="Noto Sans" w:hAnsi="Noto Sans"/>
                <w:b w:val="false"/>
                <w:bCs w:val="false"/>
                <w:color w:val="auto"/>
                <w:kern w:val="2"/>
                <w:sz w:val="17"/>
                <w:szCs w:val="17"/>
                <w:lang w:val="ca-ES" w:eastAsia="zh-CN" w:bidi="hi-IN"/>
              </w:rPr>
              <w:t>Indicau si l’esdeveniment té alguna certificació ecològica, quina és i on es pot consultar.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Inclusió d’aspectes i/o temàtiques relacionades amb la perspectiva de gènere o la comunitat LGTBQI+ a la programació artística o a les jornades professionals</w:t>
            </w:r>
          </w:p>
          <w:p>
            <w:pPr>
              <w:pStyle w:val="Normal"/>
              <w:rPr>
                <w:b w:val="false"/>
                <w:b w:val="false"/>
                <w:bCs w:val="false"/>
                <w:sz w:val="17"/>
                <w:szCs w:val="17"/>
              </w:rPr>
            </w:pPr>
            <w:r>
              <w:rPr>
                <w:rFonts w:ascii="Noto Sans" w:hAnsi="Noto Sans"/>
                <w:b w:val="false"/>
                <w:bCs w:val="false"/>
                <w:sz w:val="17"/>
                <w:szCs w:val="17"/>
              </w:rPr>
              <w:t>Es poden incloure artistes que tractin explícitament aquests temes, conferències sobre aquestes temàtiques a les jornades professionals,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0"/>
                <w:szCs w:val="20"/>
              </w:rPr>
              <w:t>Accions adreçades al foment de l’accessibilitat: millores en l’accessibilitat dels esdeveniment: ús de bucle magnètic, subtitulació, intèrprets de llengua de signes, autodescripció.</w:t>
            </w:r>
          </w:p>
          <w:p>
            <w:pPr>
              <w:pStyle w:val="Normal"/>
              <w:jc w:val="left"/>
              <w:rPr/>
            </w:pPr>
            <w:r>
              <w:rPr>
                <w:rFonts w:ascii="Noto Sans" w:hAnsi="Noto Sans"/>
                <w:b w:val="false"/>
                <w:bCs w:val="false"/>
                <w:sz w:val="17"/>
                <w:szCs w:val="17"/>
              </w:rPr>
              <w:t>*Totes aquelles accions que es facin per complir la normativa establerta en aquesta matèria, no es puntuaran, ja que són obligatòries.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Accions que fomentin la diversitat/interculturalitat dins l’esdeveniment: inclusió de persones racialitzades, persones en risc d’exclusió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 xml:space="preserve">Projectes en què l’entitat organitzadora compti amb un pla d’Igualtat i/o protocol de prevenció i actuació contra l’assetjament sexual i per raó de gènere </w:t>
            </w:r>
          </w:p>
          <w:p>
            <w:pPr>
              <w:pStyle w:val="Normal"/>
              <w:jc w:val="left"/>
              <w:rPr/>
            </w:pPr>
            <w:r>
              <w:rPr>
                <w:rFonts w:ascii="Noto Sans" w:hAnsi="Noto Sans"/>
                <w:b w:val="false"/>
                <w:bCs w:val="false"/>
                <w:i w:val="false"/>
                <w:iCs w:val="false"/>
                <w:sz w:val="17"/>
                <w:szCs w:val="17"/>
              </w:rPr>
              <w:t>Es puntuarà només quan es presenti aquest pla amb la sol·licitud i sigui públic i consultable al web de l’esdeveniment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i w:val="false"/>
                <w:i w:val="false"/>
                <w:strike w:val="false"/>
                <w:dstrike w:val="false"/>
                <w:outline w:val="false"/>
                <w:shadow w:val="false"/>
                <w:color w:val="auto"/>
                <w:spacing w:val="0"/>
                <w:kern w:val="2"/>
                <w:sz w:val="20"/>
                <w:szCs w:val="20"/>
                <w:u w:val="none"/>
                <w:em w:val="none"/>
              </w:rPr>
            </w:pPr>
            <w:r>
              <w:rPr>
                <w:rFonts w:ascii="Noto Sans" w:hAnsi="Noto Sans"/>
                <w:b/>
                <w:bCs/>
                <w:i w:val="false"/>
                <w:strike w:val="false"/>
                <w:dstrike w:val="false"/>
                <w:outline w:val="false"/>
                <w:shadow w:val="false"/>
                <w:color w:val="auto"/>
                <w:spacing w:val="0"/>
                <w:kern w:val="2"/>
                <w:sz w:val="20"/>
                <w:szCs w:val="20"/>
                <w:u w:val="none"/>
                <w:em w:val="none"/>
              </w:rPr>
              <w:t>Projectes en què la presència de les dones és part fonamental en la programació i en llocs de responsabilitat, de presa de decisions</w:t>
            </w:r>
          </w:p>
          <w:p>
            <w:pPr>
              <w:pStyle w:val="Normal"/>
              <w:jc w:val="left"/>
              <w:rPr>
                <w:b w:val="false"/>
                <w:b w:val="false"/>
                <w:bCs w:val="false"/>
                <w:sz w:val="17"/>
                <w:szCs w:val="17"/>
              </w:rPr>
            </w:pPr>
            <w:r>
              <w:rPr>
                <w:rFonts w:ascii="Noto Sans" w:hAnsi="Noto Sans"/>
                <w:b w:val="false"/>
                <w:bCs w:val="false"/>
                <w:sz w:val="17"/>
                <w:szCs w:val="17"/>
              </w:rPr>
              <w:t>Cal especificar el percentatge de dones dins el programa artístic i dins l’equip organitzador i indicar l’activitat que desenvolupen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LINGÜÍSTICA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i w:val="false"/>
                <w:strike w:val="false"/>
                <w:dstrike w:val="false"/>
                <w:outline w:val="false"/>
                <w:shadow w:val="false"/>
                <w:color w:val="auto"/>
                <w:spacing w:val="0"/>
                <w:kern w:val="2"/>
                <w:sz w:val="20"/>
                <w:szCs w:val="20"/>
                <w:u w:val="none"/>
                <w:em w:val="none"/>
              </w:rPr>
              <w:t>Projectes que fomentin l’ús del català i que emprin la llengua catalana durant el desenvolupament de les activitats.</w:t>
            </w:r>
          </w:p>
          <w:p>
            <w:pPr>
              <w:pStyle w:val="Normal"/>
              <w:jc w:val="left"/>
              <w:rPr/>
            </w:pPr>
            <w:r>
              <w:rPr>
                <w:rFonts w:ascii="Noto Sans" w:hAnsi="Noto Sans"/>
                <w:b w:val="false"/>
                <w:bCs w:val="false"/>
                <w:i w:val="false"/>
                <w:strike w:val="false"/>
                <w:dstrike w:val="false"/>
                <w:outline w:val="false"/>
                <w:shadow w:val="false"/>
                <w:color w:val="auto"/>
                <w:spacing w:val="0"/>
                <w:kern w:val="2"/>
                <w:sz w:val="20"/>
                <w:szCs w:val="20"/>
                <w:u w:val="none"/>
                <w:em w:val="none"/>
              </w:rPr>
              <w:t>Indicau en quines situacions s’empra el català i quin pes té aquesta llengua dins l’esdeveniment. Es tendrà en compte que hi hagi programació en català, que s’empri la llengua catalana en les presentacions, a la cartelleria de l’esdeveniment, etc.</w:t>
            </w:r>
          </w:p>
          <w:p>
            <w:pPr>
              <w:pStyle w:val="Normal"/>
              <w:jc w:val="left"/>
              <w:rPr>
                <w:rFonts w:ascii="Noto Sans" w:hAnsi="Noto Sans"/>
                <w:b w:val="false"/>
                <w:b w:val="false"/>
                <w:bCs w:val="false"/>
                <w:i w:val="false"/>
                <w:i w:val="false"/>
                <w:strike w:val="false"/>
                <w:dstrike w:val="false"/>
                <w:outline w:val="false"/>
                <w:shadow w:val="false"/>
                <w:color w:val="auto"/>
                <w:spacing w:val="0"/>
                <w:kern w:val="2"/>
                <w:sz w:val="20"/>
                <w:szCs w:val="20"/>
                <w:u w:val="none"/>
                <w:em w:val="none"/>
              </w:rPr>
            </w:pPr>
            <w:r>
              <w:rPr>
                <w:rFonts w:ascii="Noto Sans" w:hAnsi="Noto Sans"/>
                <w:b w:val="false"/>
                <w:bCs w:val="false"/>
                <w:i w:val="false"/>
                <w:strike w:val="false"/>
                <w:dstrike w:val="false"/>
                <w:outline w:val="false"/>
                <w:shadow w:val="false"/>
                <w:color w:val="auto"/>
                <w:spacing w:val="0"/>
                <w:kern w:val="2"/>
                <w:sz w:val="20"/>
                <w:szCs w:val="20"/>
                <w:u w:val="none"/>
                <w:em w:val="none"/>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Ús de la llengua catalana en tots els canals de difusió i comunicació de l'esdeveniment: notes de premsa, anuncis, xarxes socials.</w:t>
            </w:r>
          </w:p>
          <w:p>
            <w:pPr>
              <w:pStyle w:val="Normal"/>
              <w:jc w:val="left"/>
              <w:rPr>
                <w:b w:val="false"/>
                <w:b w:val="false"/>
                <w:bCs w:val="false"/>
                <w:sz w:val="17"/>
                <w:szCs w:val="17"/>
              </w:rPr>
            </w:pPr>
            <w:r>
              <w:rPr>
                <w:rFonts w:ascii="Noto Sans" w:hAnsi="Noto Sans"/>
                <w:b w:val="false"/>
                <w:bCs w:val="false"/>
                <w:i w:val="false"/>
                <w:strike w:val="false"/>
                <w:dstrike w:val="false"/>
                <w:outline w:val="false"/>
                <w:shadow w:val="false"/>
                <w:color w:val="auto"/>
                <w:spacing w:val="0"/>
                <w:kern w:val="2"/>
                <w:sz w:val="17"/>
                <w:szCs w:val="17"/>
                <w:u w:val="none"/>
                <w:em w:val="none"/>
              </w:rPr>
              <w:t>Indicau si s’empra la llengua catalana en tots els canals de difusió, de quina manera i adjuntau exemples reals de notes de premsa, anuncis, publicacions a xarxes socials, web,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uerpodetexto"/>
        <w:rPr/>
      </w:pPr>
      <w:r>
        <w:rPr/>
      </w:r>
    </w:p>
    <w:p>
      <w:pPr>
        <w:pStyle w:val="Cuerpodetexto"/>
        <w:rPr>
          <w:rFonts w:ascii="Noto Sans" w:hAnsi="Noto Sans"/>
          <w:b/>
          <w:b/>
          <w:bCs/>
          <w:sz w:val="22"/>
          <w:szCs w:val="22"/>
        </w:rPr>
      </w:pPr>
      <w:r>
        <w:rPr>
          <w:rFonts w:ascii="Noto Sans" w:hAnsi="Noto Sans"/>
          <w:b/>
          <w:bCs/>
          <w:sz w:val="22"/>
          <w:szCs w:val="22"/>
        </w:rPr>
        <w:t>12.1.c) Puntuació addicional (fins a 15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CREACIÓ / FIRA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L'esdeveniment inclou alguna obra beneficiària de les convocatòries de  d'ajudes de l'Institut d'Estudis Baleàrics per donar suport a la creació o algun dels artistes participants a Fira B! 2025.</w:t>
            </w:r>
          </w:p>
          <w:p>
            <w:pPr>
              <w:pStyle w:val="Normal"/>
              <w:rPr>
                <w:rFonts w:ascii="Noto Sans" w:hAnsi="Noto Sans"/>
                <w:b/>
                <w:b/>
                <w:bCs/>
                <w:sz w:val="20"/>
                <w:szCs w:val="20"/>
              </w:rPr>
            </w:pPr>
            <w:r>
              <w:rPr>
                <w:rFonts w:ascii="Noto Sans" w:hAnsi="Noto Sans"/>
                <w:b/>
                <w:bCs/>
                <w:sz w:val="20"/>
                <w:szCs w:val="20"/>
              </w:rPr>
            </w:r>
          </w:p>
          <w:p>
            <w:pPr>
              <w:pStyle w:val="Normal"/>
              <w:jc w:val="left"/>
              <w:rPr/>
            </w:pPr>
            <w:r>
              <w:rPr>
                <w:rFonts w:ascii="Noto Sans" w:hAnsi="Noto Sans"/>
                <w:b w:val="false"/>
                <w:bCs w:val="false"/>
                <w:sz w:val="17"/>
                <w:szCs w:val="17"/>
              </w:rPr>
              <w:t>Indicau si s’inclou alguna obra beneficiària de l’ajut de Creació o algun artista programat a Fira B! 2025. Podeu consultar el web de l’IEB per conèixer els beneficiaris de Creació i e</w:t>
            </w:r>
            <w:hyperlink r:id="rId3">
              <w:r>
                <w:rPr>
                  <w:rStyle w:val="EnlladInternet"/>
                  <w:rFonts w:ascii="Noto Sans" w:hAnsi="Noto Sans"/>
                  <w:b w:val="false"/>
                  <w:bCs w:val="false"/>
                  <w:i w:val="false"/>
                  <w:iCs w:val="false"/>
                  <w:sz w:val="17"/>
                  <w:szCs w:val="17"/>
                  <w:u w:val="none"/>
                </w:rPr>
                <w:t>l</w:t>
              </w:r>
              <w:r>
                <w:rPr>
                  <w:rStyle w:val="EnlladInternet"/>
                  <w:rFonts w:ascii="Noto Sans" w:hAnsi="Noto Sans"/>
                  <w:b w:val="false"/>
                  <w:bCs w:val="false"/>
                  <w:sz w:val="17"/>
                  <w:szCs w:val="17"/>
                  <w:u w:val="none"/>
                </w:rPr>
                <w:t xml:space="preserve"> </w:t>
              </w:r>
              <w:r>
                <w:rPr>
                  <w:rStyle w:val="EnlladInternet"/>
                  <w:rFonts w:ascii="Noto Sans" w:hAnsi="Noto Sans"/>
                  <w:b w:val="false"/>
                  <w:bCs w:val="false"/>
                  <w:sz w:val="17"/>
                  <w:szCs w:val="17"/>
                </w:rPr>
                <w:t>web de Fira B!</w:t>
              </w:r>
            </w:hyperlink>
            <w:r>
              <w:rPr>
                <w:rStyle w:val="EnlladInternet"/>
                <w:rFonts w:ascii="Noto Sans" w:hAnsi="Noto Sans"/>
                <w:b w:val="false"/>
                <w:bCs w:val="false"/>
                <w:sz w:val="17"/>
                <w:szCs w:val="17"/>
                <w:u w:val="none"/>
              </w:rPr>
              <w:t xml:space="preserve"> p</w:t>
            </w:r>
            <w:r>
              <w:rPr>
                <w:rStyle w:val="EnlladInternet"/>
                <w:rFonts w:eastAsia="NSimSun" w:cs="Arial" w:ascii="Noto Sans" w:hAnsi="Noto Sans"/>
                <w:b w:val="false"/>
                <w:bCs w:val="false"/>
                <w:color w:val="auto"/>
                <w:kern w:val="2"/>
                <w:sz w:val="17"/>
                <w:szCs w:val="17"/>
                <w:u w:val="none"/>
                <w:lang w:val="ca-ES" w:eastAsia="zh-CN" w:bidi="hi-IN"/>
              </w:rPr>
              <w:t>er consultar la programació de 2025.</w:t>
            </w:r>
          </w:p>
          <w:p>
            <w:pPr>
              <w:pStyle w:val="Normal"/>
              <w:jc w:val="left"/>
              <w:rPr>
                <w:rStyle w:val="EnlladInternet"/>
                <w:rFonts w:ascii="Noto Sans" w:hAnsi="Noto Sans" w:eastAsia="NSimSun" w:cs="Arial"/>
                <w:b w:val="false"/>
                <w:b w:val="false"/>
                <w:bCs w:val="false"/>
                <w:color w:val="auto"/>
                <w:kern w:val="2"/>
                <w:sz w:val="17"/>
                <w:szCs w:val="17"/>
                <w:u w:val="none"/>
                <w:lang w:val="ca-ES" w:eastAsia="zh-CN" w:bidi="hi-IN"/>
              </w:rPr>
            </w:pPr>
            <w:r>
              <w:rPr>
                <w:rFonts w:eastAsia="NSimSun" w:cs="Arial" w:ascii="Noto Sans" w:hAnsi="Noto Sans"/>
                <w:b w:val="false"/>
                <w:bCs w:val="false"/>
                <w:color w:val="auto"/>
                <w:kern w:val="2"/>
                <w:sz w:val="17"/>
                <w:szCs w:val="17"/>
                <w:u w:val="none"/>
                <w:lang w:val="ca-ES" w:eastAsia="zh-CN" w:bidi="hi-IN"/>
              </w:rPr>
            </w:r>
          </w:p>
          <w:p>
            <w:pPr>
              <w:pStyle w:val="Normal"/>
              <w:jc w:val="left"/>
              <w:rPr/>
            </w:pPr>
            <w:r>
              <w:rPr>
                <w:rStyle w:val="EnlladInternet"/>
                <w:rFonts w:eastAsia="NSimSun" w:cs="Arial" w:ascii="Noto Sans" w:hAnsi="Noto Sans"/>
                <w:b w:val="false"/>
                <w:bCs w:val="false"/>
                <w:color w:val="auto"/>
                <w:kern w:val="2"/>
                <w:sz w:val="17"/>
                <w:szCs w:val="17"/>
                <w:u w:val="none"/>
                <w:lang w:val="ca-ES" w:eastAsia="zh-CN" w:bidi="hi-IN"/>
              </w:rPr>
              <w:t>Si no s’indica quina obra/artista es programa, no s’atorgaran aquests punts.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L’esdeveniment inclou accions fetes per creadors, entitats o col·lectius naturals o residents a Formentera.</w:t>
            </w:r>
          </w:p>
          <w:p>
            <w:pPr>
              <w:pStyle w:val="Normal"/>
              <w:rPr>
                <w:b w:val="false"/>
                <w:b w:val="false"/>
                <w:bCs w:val="false"/>
                <w:sz w:val="17"/>
                <w:szCs w:val="17"/>
              </w:rPr>
            </w:pPr>
            <w:r>
              <w:rPr>
                <w:rFonts w:ascii="Noto Sans" w:hAnsi="Noto Sans"/>
                <w:b w:val="false"/>
                <w:bCs w:val="false"/>
                <w:sz w:val="17"/>
                <w:szCs w:val="17"/>
              </w:rPr>
              <w:t>S’ha d’indicar quin artista/companyia/grup és i acreditar la seva procedència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EFEMÈRIDES I COMMEMORACIONS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L’esdeveniment inclou alguna activitat relacionada amb l’Any Alcover.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rFonts w:ascii="Noto Sans" w:hAnsi="Noto Sans"/>
          <w:sz w:val="20"/>
          <w:szCs w:val="20"/>
        </w:rPr>
      </w:pPr>
      <w:r>
        <w:rPr>
          <w:rFonts w:ascii="Noto Sans" w:hAnsi="Noto Sans"/>
          <w:sz w:val="20"/>
          <w:szCs w:val="20"/>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pPr>
            <w:r>
              <w:rPr>
                <w:rFonts w:ascii="Noto Sans" w:hAnsi="Noto Sans"/>
                <w:b/>
                <w:bCs/>
                <w:sz w:val="20"/>
                <w:szCs w:val="20"/>
                <w:lang w:val="ca-ES"/>
              </w:rPr>
              <w:t>AUDITORIA  (2 punts addicionals)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ca-ES"/>
              </w:rPr>
            </w:pPr>
            <w:r>
              <w:rPr>
                <w:i w:val="false"/>
                <w:strike w:val="false"/>
                <w:dstrike w:val="false"/>
                <w:outline w:val="false"/>
                <w:shadow w:val="false"/>
                <w:u w:val="none"/>
                <w:em w:val="none"/>
                <w:lang w:val="ca-ES"/>
              </w:rPr>
            </w:r>
          </w:p>
          <w:p>
            <w:pPr>
              <w:pStyle w:val="Cuerpodetexto"/>
              <w:widowControl/>
              <w:numPr>
                <w:ilvl w:val="0"/>
                <w:numId w:val="0"/>
              </w:numPr>
              <w:spacing w:lineRule="auto" w:line="240" w:before="0" w:after="0"/>
              <w:ind w:left="0" w:right="0" w:hanging="0"/>
              <w:jc w:val="left"/>
              <w:rPr/>
            </w:pPr>
            <w:r>
              <w:rPr>
                <w:rFonts w:ascii="Noto Sans" w:hAnsi="Noto Sans"/>
                <w:sz w:val="20"/>
                <w:szCs w:val="20"/>
                <w:lang w:val="ca-ES" w:bidi="ar-SA"/>
              </w:rPr>
              <w:t>D’acord amb el punt 20.4: En el cas de projectes que superin les 50 factures aportades per fer la justificació, es recomana que presentin, ju</w:t>
            </w:r>
            <w:r>
              <w:rPr>
                <w:rStyle w:val="Fuentedeprrafopredeter"/>
                <w:rFonts w:ascii="Noto Sans" w:hAnsi="Noto Sans"/>
                <w:color w:val="000000"/>
                <w:sz w:val="20"/>
                <w:szCs w:val="20"/>
                <w:lang w:val="ca-ES" w:bidi="ar-SA"/>
              </w:rPr>
              <w:t xml:space="preserve">ntament amb la memòria econòmica justificativa esmentada, un informe signat per un auditor de comptes inscrit en el Registre Oficial d’Auditors de Comptes. D’aquesta manera es facilita la tramitació de l’expedient i se n’agilitza el pagament. L’auditor de comptes ha de dur a terme la revisió del grau de despesa corresponent als treballs efectuats per persones físiques o jurídiques domiciliades o amb seu permanent a les Illes Balears, així com la revisió de despesa subvencionable, d’acord amb el que estableix aquesta convocatòria i les normes de procediment. Aquest informe d’auditoria ha de seguir el format i contingut que s’estableix al Manual d’auditoria, el qual podeu descarregar del web </w:t>
            </w:r>
            <w:hyperlink r:id="rId4">
              <w:r>
                <w:rPr>
                  <w:rStyle w:val="EnlladInternet"/>
                  <w:rFonts w:ascii="Noto Sans" w:hAnsi="Noto Sans"/>
                  <w:i/>
                  <w:iCs/>
                  <w:sz w:val="20"/>
                  <w:szCs w:val="20"/>
                  <w:u w:val="none"/>
                  <w:lang w:val="ca-ES" w:bidi="ar-SA"/>
                </w:rPr>
                <w:t>http://www.iebalearics.org</w:t>
              </w:r>
            </w:hyperlink>
            <w:hyperlink r:id="rId5">
              <w:r>
                <w:rPr>
                  <w:rStyle w:val="Fuentedeprrafopredeter"/>
                  <w:rFonts w:ascii="Noto Sans" w:hAnsi="Noto Sans"/>
                  <w:color w:val="000000"/>
                  <w:sz w:val="20"/>
                  <w:szCs w:val="20"/>
                  <w:u w:val="none"/>
                  <w:lang w:val="ca-ES" w:bidi="ar-SA"/>
                </w:rPr>
                <w:t>.</w:t>
              </w:r>
            </w:hyperlink>
          </w:p>
          <w:p>
            <w:pPr>
              <w:pStyle w:val="LOnormal"/>
              <w:widowControl/>
              <w:spacing w:lineRule="auto" w:line="276" w:before="0" w:after="0"/>
              <w:ind w:left="0" w:right="0" w:hanging="0"/>
              <w:jc w:val="left"/>
              <w:rPr>
                <w:rFonts w:ascii="Noto Sans" w:hAnsi="Noto Sans"/>
                <w:sz w:val="20"/>
                <w:szCs w:val="20"/>
                <w:lang w:val="ca-ES" w:bidi="ar-SA"/>
              </w:rPr>
            </w:pPr>
            <w:r>
              <w:rPr>
                <w:rFonts w:ascii="Noto Sans" w:hAnsi="Noto Sans"/>
                <w:sz w:val="20"/>
                <w:szCs w:val="20"/>
                <w:lang w:val="ca-ES" w:bidi="ar-SA"/>
              </w:rPr>
            </w:r>
          </w:p>
          <w:p>
            <w:pPr>
              <w:pStyle w:val="LOnormal"/>
              <w:widowControl/>
              <w:spacing w:lineRule="auto" w:line="276" w:before="0" w:after="0"/>
              <w:ind w:left="0" w:right="0" w:hanging="0"/>
              <w:jc w:val="left"/>
              <w:rPr>
                <w:rFonts w:ascii="Noto Sans" w:hAnsi="Noto Sans"/>
                <w:i/>
                <w:i/>
                <w:iCs/>
                <w:sz w:val="20"/>
                <w:szCs w:val="20"/>
                <w:u w:val="single"/>
                <w:lang w:val="ca-ES" w:bidi="ar-SA"/>
              </w:rPr>
            </w:pPr>
            <w:r>
              <w:rPr>
                <w:rFonts w:ascii="Noto Sans" w:hAnsi="Noto Sans"/>
                <w:i/>
                <w:iCs/>
                <w:sz w:val="20"/>
                <w:szCs w:val="20"/>
                <w:u w:val="single"/>
                <w:lang w:val="ca-ES" w:bidi="ar-SA"/>
              </w:rPr>
              <w:t>Marcau l’opció corresponent al vostre cas:</w:t>
            </w:r>
          </w:p>
          <w:p>
            <w:pPr>
              <w:pStyle w:val="Cuerpodetexto"/>
              <w:widowControl/>
              <w:bidi w:val="0"/>
              <w:spacing w:lineRule="auto" w:line="288" w:before="0" w:after="83"/>
              <w:ind w:left="0" w:right="0" w:hanging="0"/>
              <w:jc w:val="left"/>
              <w:rPr/>
            </w:pPr>
            <w:r>
              <w:rPr>
                <w:rFonts w:eastAsia="Arial" w:cs="Arial" w:ascii="Noto Sans" w:hAnsi="Noto Sans"/>
                <w:color w:val="00000A"/>
                <w:kern w:val="0"/>
                <w:sz w:val="20"/>
                <w:szCs w:val="20"/>
                <w:lang w:val="ca-ES" w:eastAsia="zh-CN" w:bidi="ar-SA"/>
              </w:rPr>
              <w:t>Presentaré la justificació sense auditoria.</w:t>
            </w:r>
          </w:p>
          <w:p>
            <w:pPr>
              <w:pStyle w:val="LOnormal"/>
              <w:widowControl/>
              <w:spacing w:lineRule="auto" w:line="276" w:before="0" w:after="0"/>
              <w:ind w:left="0" w:right="0" w:hanging="0"/>
              <w:jc w:val="left"/>
              <w:rPr/>
            </w:pPr>
            <w:r>
              <w:rPr>
                <w:rFonts w:ascii="Noto Sans" w:hAnsi="Noto Sans"/>
                <w:sz w:val="20"/>
                <w:szCs w:val="20"/>
                <w:lang w:val="ca-ES" w:bidi="ar-SA"/>
              </w:rPr>
              <w:t xml:space="preserve">Presentaré la justificació auditada d’acord amb el punt 20.4. de la convocatòria. </w:t>
            </w:r>
            <w:bookmarkStart w:id="1" w:name="__DdeLink__3818_744621378"/>
            <w:r>
              <w:rPr>
                <w:rFonts w:eastAsia="Arial" w:cs="Arial" w:ascii="Noto Sans" w:hAnsi="Noto Sans"/>
                <w:i/>
                <w:iCs/>
                <w:color w:val="00000A"/>
                <w:kern w:val="0"/>
                <w:sz w:val="17"/>
                <w:szCs w:val="17"/>
                <w:lang w:val="ca-ES" w:eastAsia="zh-CN" w:bidi="ar-SA"/>
              </w:rPr>
              <w:t>En el cas que es s’indiqui que es presentarà i finalment no es presenti, es reduirà en un 10 % l’import atorgat.</w:t>
            </w:r>
            <w:bookmarkEnd w:id="1"/>
          </w:p>
        </w:tc>
      </w:tr>
    </w:tbl>
    <w:p>
      <w:pPr>
        <w:pStyle w:val="Normal"/>
        <w:rPr/>
      </w:pPr>
      <w:r>
        <w:rPr/>
      </w:r>
    </w:p>
    <w:sectPr>
      <w:headerReference w:type="default" r:id="rId6"/>
      <w:headerReference w:type="first" r:id="rId7"/>
      <w:footnotePr>
        <w:numFmt w:val="decimal"/>
      </w:footnotePr>
      <w:type w:val="nextPage"/>
      <w:pgSz w:orient="landscape" w:w="16838" w:h="11906"/>
      <w:pgMar w:left="1134" w:right="1134" w:header="1134" w:top="1693" w:footer="0" w:bottom="1134"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0"/>
    <w:family w:val="swiss"/>
    <w:pitch w:val="variable"/>
  </w:font>
  <w:font w:name="Noto Sans">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LegacySanITCBoo">
    <w:charset w:val="00"/>
    <w:family w:val="roman"/>
    <w:pitch w:val="variable"/>
  </w:font>
  <w:font w:name="NotoSans-Regular">
    <w:charset w:val="00"/>
    <w:family w:val="roman"/>
    <w:pitch w:val="variable"/>
  </w:font>
  <w:font w:name="OpenSymbol">
    <w:altName w:val="Arial Unicode MS"/>
    <w:charset w:val="01"/>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ie"/>
        <w:rPr/>
      </w:pPr>
      <w:r>
        <w:rPr>
          <w:rStyle w:val="Caracteresdenotaalpie"/>
        </w:rPr>
        <w:footnoteRef/>
      </w:r>
      <w:r>
        <w:rPr>
          <w:rFonts w:ascii="Noto Sans" w:hAnsi="Noto Sans"/>
          <w:sz w:val="18"/>
          <w:szCs w:val="18"/>
        </w:rPr>
        <w:tab/>
        <w:t>llevat dels projectes de la línia i), que només n’hauran de complir un.</w:t>
      </w:r>
    </w:p>
  </w:footnote>
  <w:footnote w:id="3">
    <w:p>
      <w:pPr>
        <w:pStyle w:val="Notaalpie"/>
        <w:rPr/>
      </w:pPr>
      <w:r>
        <w:rPr>
          <w:rStyle w:val="Caracteresdenotaalpie"/>
        </w:rPr>
        <w:footnoteRef/>
      </w:r>
      <w:r>
        <w:rPr>
          <w:rFonts w:ascii="Noto Sans" w:hAnsi="Noto Sans"/>
          <w:sz w:val="18"/>
          <w:szCs w:val="18"/>
        </w:rPr>
        <w:tab/>
        <w:t>En el cas d’esdeveniments de l’àmbit audiovisual, han de tenir programades almenys dues obres de les Illes Balears remunerades i garantir la presència de mínim 3 professionals balears del sector audiovisual dins el marc de les activitats professionals i que aquests professionals siguin remunerats</w:t>
      </w:r>
    </w:p>
  </w:footnote>
  <w:footnote w:id="4">
    <w:p>
      <w:pPr>
        <w:pStyle w:val="Notaalpie"/>
        <w:rPr/>
      </w:pPr>
      <w:r>
        <w:rPr>
          <w:rStyle w:val="Caracteresdenotaalpie"/>
        </w:rPr>
        <w:footnoteRef/>
      </w:r>
      <w:r>
        <w:rPr>
          <w:rFonts w:ascii="Noto Sans" w:hAnsi="Noto Sans"/>
          <w:sz w:val="18"/>
          <w:szCs w:val="18"/>
        </w:rPr>
        <w:tab/>
        <w:t>Aquesta memòria servirà perquè la comissió avaluadora puntuï el projecte. Heu de detallar tota la informació necessària. Tot allò que no quedi especificat i detallat en aquesta memòria, no valorarà. Hi podeu afegir tantes pàgines com us faci falta, però intentau respondre a tots els apartats en l’ordre corresponent.</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14300" distR="114300" simplePos="0" locked="0" layoutInCell="1" allowOverlap="1" relativeHeight="16">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space"/>
      <w:lvlText w:val=""/>
      <w:lvlJc w:val="left"/>
      <w:pPr>
        <w:ind w:left="720" w:hanging="360"/>
      </w:pPr>
      <w:rPr>
        <w:rFonts w:ascii="Symbol" w:hAnsi="Symbol" w:cs="Symbol" w:hint="default"/>
        <w:sz w:val="20"/>
        <w:b/>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bullet"/>
      <w:lvlText w:val=""/>
      <w:lvlJc w:val="left"/>
      <w:pPr>
        <w:tabs>
          <w:tab w:val="num" w:pos="720"/>
        </w:tabs>
        <w:ind w:left="720" w:hanging="360"/>
      </w:pPr>
      <w:rPr>
        <w:rFonts w:ascii="Symbol" w:hAnsi="Symbol" w:cs="Symbol" w:hint="default"/>
        <w:sz w:val="20"/>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3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ca-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ca-ES" w:eastAsia="zh-CN" w:bidi="hi-IN"/>
    </w:rPr>
  </w:style>
  <w:style w:type="paragraph" w:styleId="Ttulo3">
    <w:name w:val="Heading 3"/>
    <w:basedOn w:val="Ttulo"/>
    <w:next w:val="Cuerpodetexto"/>
    <w:qFormat/>
    <w:pPr>
      <w:widowControl w:val="false"/>
      <w:bidi w:val="0"/>
      <w:spacing w:before="140" w:after="120"/>
      <w:jc w:val="left"/>
      <w:outlineLvl w:val="2"/>
    </w:pPr>
    <w:rPr>
      <w:rFonts w:ascii="Liberation Serif" w:hAnsi="Liberation Serif" w:eastAsia="NSimSun" w:cs="Arial"/>
      <w:b/>
      <w:bCs/>
      <w:color w:val="auto"/>
      <w:kern w:val="2"/>
      <w:sz w:val="28"/>
      <w:szCs w:val="28"/>
      <w:lang w:val="ca-ES" w:eastAsia="zh-CN" w:bidi="hi-IN"/>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qFormat/>
    <w:rPr>
      <w:vertAlign w:val="superscript"/>
    </w:rPr>
  </w:style>
  <w:style w:type="character" w:styleId="EnlladInternet">
    <w:name w:val="Enllaç d'Internet"/>
    <w:qFormat/>
    <w:rPr>
      <w:color w:val="000080"/>
      <w:u w:val="single"/>
      <w:lang w:val="zxx" w:eastAsia="zxx" w:bidi="zxx"/>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ListLabel266">
    <w:name w:val="ListLabel 266"/>
    <w:qFormat/>
    <w:rPr>
      <w:b w:val="false"/>
      <w:bCs w:val="false"/>
      <w:i w:val="false"/>
      <w:iCs/>
    </w:rPr>
  </w:style>
  <w:style w:type="character" w:styleId="ListLabel267">
    <w:name w:val="ListLabel 267"/>
    <w:qFormat/>
    <w:rPr>
      <w:rFonts w:ascii="Noto Sans" w:hAnsi="Noto Sans" w:cs="OpenSymbol"/>
      <w:sz w:val="22"/>
    </w:rPr>
  </w:style>
  <w:style w:type="character" w:styleId="ListLabel268">
    <w:name w:val="ListLabel 268"/>
    <w:qFormat/>
    <w:rPr>
      <w:rFonts w:cs="Symbol"/>
    </w:rPr>
  </w:style>
  <w:style w:type="character" w:styleId="ListLabel269">
    <w:name w:val="ListLabel 269"/>
    <w:qFormat/>
    <w:rPr>
      <w:rFonts w:cs="Symbol"/>
    </w:rPr>
  </w:style>
  <w:style w:type="character" w:styleId="ListLabel270">
    <w:name w:val="ListLabel 270"/>
    <w:qFormat/>
    <w:rPr>
      <w:rFonts w:cs="Symbol"/>
    </w:rPr>
  </w:style>
  <w:style w:type="character" w:styleId="ListLabel271">
    <w:name w:val="ListLabel 271"/>
    <w:qFormat/>
    <w:rPr>
      <w:rFonts w:cs="Symbol"/>
    </w:rPr>
  </w:style>
  <w:style w:type="character" w:styleId="ListLabel272">
    <w:name w:val="ListLabel 272"/>
    <w:qFormat/>
    <w:rPr>
      <w:rFonts w:cs="Symbol"/>
    </w:rPr>
  </w:style>
  <w:style w:type="character" w:styleId="Pics">
    <w:name w:val="Pics"/>
    <w:qFormat/>
    <w:rPr>
      <w:rFonts w:ascii="OpenSymbol" w:hAnsi="OpenSymbol" w:eastAsia="OpenSymbol"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78">
    <w:name w:val="ListLabel 78"/>
    <w:qFormat/>
    <w:rPr>
      <w:rFonts w:ascii="Noto Sans" w:hAnsi="Noto Sans"/>
      <w:i/>
      <w:iCs/>
      <w:sz w:val="20"/>
      <w:szCs w:val="20"/>
      <w:u w:val="none"/>
      <w:lang w:val="ca-ES" w:bidi="ar-SA"/>
    </w:rPr>
  </w:style>
  <w:style w:type="character" w:styleId="ListLabel79">
    <w:name w:val="ListLabel 79"/>
    <w:qFormat/>
    <w:rPr>
      <w:rFonts w:ascii="Noto Sans" w:hAnsi="Noto Sans"/>
      <w:color w:val="000000"/>
      <w:sz w:val="20"/>
      <w:szCs w:val="20"/>
      <w:u w:val="none"/>
      <w:lang w:val="ca-ES" w:bidi="ar-SA"/>
    </w:rPr>
  </w:style>
  <w:style w:type="character" w:styleId="Ncoradenotafinal">
    <w:name w:val="Àncora de nota final"/>
    <w:qFormat/>
    <w:rPr>
      <w:vertAlign w:val="superscript"/>
    </w:rPr>
  </w:style>
  <w:style w:type="character" w:styleId="Carctersdenotafinal">
    <w:name w:val="Caràcters de nota final"/>
    <w:qFormat/>
    <w:rPr/>
  </w:style>
  <w:style w:type="character" w:styleId="ListLabel273">
    <w:name w:val="ListLabel 273"/>
    <w:qFormat/>
    <w:rPr>
      <w:b w:val="false"/>
      <w:bCs w:val="false"/>
      <w:i w:val="false"/>
      <w:iCs/>
    </w:rPr>
  </w:style>
  <w:style w:type="character" w:styleId="ListLabel274">
    <w:name w:val="ListLabel 274"/>
    <w:qFormat/>
    <w:rPr>
      <w:rFonts w:cs="OpenSymbol"/>
      <w:sz w:val="22"/>
    </w:rPr>
  </w:style>
  <w:style w:type="character" w:styleId="ListLabel275">
    <w:name w:val="ListLabel 275"/>
    <w:qFormat/>
    <w:rPr>
      <w:rFonts w:cs="Symbol"/>
    </w:rPr>
  </w:style>
  <w:style w:type="character" w:styleId="ListLabel276">
    <w:name w:val="ListLabel 276"/>
    <w:qFormat/>
    <w:rPr>
      <w:rFonts w:cs="Symbol"/>
    </w:rPr>
  </w:style>
  <w:style w:type="character" w:styleId="ListLabel277">
    <w:name w:val="ListLabel 277"/>
    <w:qFormat/>
    <w:rPr>
      <w:rFonts w:cs="Symbol"/>
    </w:rPr>
  </w:style>
  <w:style w:type="character" w:styleId="ListLabel278">
    <w:name w:val="ListLabel 278"/>
    <w:qFormat/>
    <w:rPr>
      <w:rFonts w:cs="Symbol"/>
    </w:rPr>
  </w:style>
  <w:style w:type="character" w:styleId="ListLabel279">
    <w:name w:val="ListLabel 279"/>
    <w:qFormat/>
    <w:rPr>
      <w:rFonts w:cs="Symbol"/>
    </w:rPr>
  </w:style>
  <w:style w:type="character" w:styleId="ListLabel280">
    <w:name w:val="ListLabel 280"/>
    <w:qFormat/>
    <w:rPr>
      <w:rFonts w:ascii="Noto Sans" w:hAnsi="Noto Sans" w:cs="OpenSymbol"/>
      <w:b/>
      <w:sz w:val="20"/>
    </w:rPr>
  </w:style>
  <w:style w:type="character" w:styleId="ListLabel281">
    <w:name w:val="ListLabel 281"/>
    <w:qFormat/>
    <w:rPr>
      <w:rFonts w:cs="OpenSymbol"/>
    </w:rPr>
  </w:style>
  <w:style w:type="character" w:styleId="ListLabel282">
    <w:name w:val="ListLabel 282"/>
    <w:qFormat/>
    <w:rPr>
      <w:rFonts w:cs="OpenSymbol"/>
    </w:rPr>
  </w:style>
  <w:style w:type="character" w:styleId="ListLabel283">
    <w:name w:val="ListLabel 283"/>
    <w:qFormat/>
    <w:rPr>
      <w:rFonts w:cs="OpenSymbol"/>
    </w:rPr>
  </w:style>
  <w:style w:type="character" w:styleId="ListLabel284">
    <w:name w:val="ListLabel 284"/>
    <w:qFormat/>
    <w:rPr>
      <w:rFonts w:cs="OpenSymbol"/>
    </w:rPr>
  </w:style>
  <w:style w:type="character" w:styleId="ListLabel285">
    <w:name w:val="ListLabel 285"/>
    <w:qFormat/>
    <w:rPr>
      <w:rFonts w:cs="OpenSymbol"/>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ascii="Noto Sans" w:hAnsi="Noto Sans" w:cs="OpenSymbol"/>
      <w:b w:val="false"/>
      <w:sz w:val="20"/>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OpenSymbol"/>
    </w:rPr>
  </w:style>
  <w:style w:type="character" w:styleId="ListLabel295">
    <w:name w:val="ListLabel 295"/>
    <w:qFormat/>
    <w:rPr>
      <w:rFonts w:cs="OpenSymbol"/>
    </w:rPr>
  </w:style>
  <w:style w:type="character" w:styleId="ListLabel296">
    <w:name w:val="ListLabel 296"/>
    <w:qFormat/>
    <w:rPr>
      <w:rFonts w:cs="OpenSymbol"/>
    </w:rPr>
  </w:style>
  <w:style w:type="character" w:styleId="ListLabel297">
    <w:name w:val="ListLabel 297"/>
    <w:qFormat/>
    <w:rPr>
      <w:rFonts w:cs="OpenSymbol"/>
    </w:rPr>
  </w:style>
  <w:style w:type="character" w:styleId="ListLabel298">
    <w:name w:val="ListLabel 298"/>
    <w:qFormat/>
    <w:rPr>
      <w:rFonts w:ascii="Noto Sans" w:hAnsi="Noto Sans"/>
      <w:b/>
      <w:bCs/>
      <w:sz w:val="16"/>
      <w:szCs w:val="16"/>
    </w:rPr>
  </w:style>
  <w:style w:type="character" w:styleId="ListLabel299">
    <w:name w:val="ListLabel 299"/>
    <w:qFormat/>
    <w:rPr>
      <w:rFonts w:ascii="Noto Sans" w:hAnsi="Noto Sans"/>
      <w:i/>
      <w:iCs/>
      <w:sz w:val="20"/>
      <w:szCs w:val="20"/>
      <w:u w:val="none"/>
      <w:lang w:val="ca-ES" w:bidi="ar-SA"/>
    </w:rPr>
  </w:style>
  <w:style w:type="character" w:styleId="ListLabel300">
    <w:name w:val="ListLabel 300"/>
    <w:qFormat/>
    <w:rPr>
      <w:rFonts w:ascii="Noto Sans" w:hAnsi="Noto Sans"/>
      <w:color w:val="000000"/>
      <w:sz w:val="20"/>
      <w:szCs w:val="20"/>
      <w:u w:val="none"/>
      <w:lang w:val="ca-ES" w:bidi="ar-SA"/>
    </w:rPr>
  </w:style>
  <w:style w:type="character" w:styleId="ListLabel301">
    <w:name w:val="ListLabel 301"/>
    <w:qFormat/>
    <w:rPr>
      <w:rFonts w:ascii="Noto Sans" w:hAnsi="Noto Sans" w:cs="OpenSymbol"/>
      <w:b/>
      <w:sz w:val="20"/>
    </w:rPr>
  </w:style>
  <w:style w:type="character" w:styleId="ListLabel302">
    <w:name w:val="ListLabel 302"/>
    <w:qFormat/>
    <w:rPr>
      <w:rFonts w:cs="OpenSymbol"/>
    </w:rPr>
  </w:style>
  <w:style w:type="character" w:styleId="ListLabel303">
    <w:name w:val="ListLabel 303"/>
    <w:qFormat/>
    <w:rPr>
      <w:rFonts w:cs="OpenSymbol"/>
    </w:rPr>
  </w:style>
  <w:style w:type="character" w:styleId="ListLabel304">
    <w:name w:val="ListLabel 304"/>
    <w:qFormat/>
    <w:rPr>
      <w:rFonts w:cs="OpenSymbol"/>
    </w:rPr>
  </w:style>
  <w:style w:type="character" w:styleId="ListLabel305">
    <w:name w:val="ListLabel 305"/>
    <w:qFormat/>
    <w:rPr>
      <w:rFonts w:cs="OpenSymbol"/>
    </w:rPr>
  </w:style>
  <w:style w:type="character" w:styleId="ListLabel306">
    <w:name w:val="ListLabel 306"/>
    <w:qFormat/>
    <w:rPr>
      <w:rFonts w:cs="OpenSymbol"/>
    </w:rPr>
  </w:style>
  <w:style w:type="character" w:styleId="ListLabel307">
    <w:name w:val="ListLabel 307"/>
    <w:qFormat/>
    <w:rPr>
      <w:rFonts w:cs="OpenSymbol"/>
    </w:rPr>
  </w:style>
  <w:style w:type="character" w:styleId="ListLabel308">
    <w:name w:val="ListLabel 308"/>
    <w:qFormat/>
    <w:rPr>
      <w:rFonts w:cs="OpenSymbol"/>
    </w:rPr>
  </w:style>
  <w:style w:type="character" w:styleId="ListLabel309">
    <w:name w:val="ListLabel 309"/>
    <w:qFormat/>
    <w:rPr>
      <w:rFonts w:cs="OpenSymbol"/>
    </w:rPr>
  </w:style>
  <w:style w:type="character" w:styleId="ListLabel310">
    <w:name w:val="ListLabel 310"/>
    <w:qFormat/>
    <w:rPr>
      <w:rFonts w:ascii="Noto Sans" w:hAnsi="Noto Sans" w:cs="OpenSymbol"/>
      <w:b w:val="false"/>
      <w:sz w:val="20"/>
    </w:rPr>
  </w:style>
  <w:style w:type="character" w:styleId="ListLabel311">
    <w:name w:val="ListLabel 311"/>
    <w:qFormat/>
    <w:rPr>
      <w:rFonts w:cs="OpenSymbol"/>
    </w:rPr>
  </w:style>
  <w:style w:type="character" w:styleId="ListLabel312">
    <w:name w:val="ListLabel 312"/>
    <w:qFormat/>
    <w:rPr>
      <w:rFonts w:cs="OpenSymbol"/>
    </w:rPr>
  </w:style>
  <w:style w:type="character" w:styleId="ListLabel313">
    <w:name w:val="ListLabel 313"/>
    <w:qFormat/>
    <w:rPr>
      <w:rFonts w:cs="OpenSymbol"/>
    </w:rPr>
  </w:style>
  <w:style w:type="character" w:styleId="ListLabel314">
    <w:name w:val="ListLabel 314"/>
    <w:qFormat/>
    <w:rPr>
      <w:rFonts w:cs="OpenSymbol"/>
    </w:rPr>
  </w:style>
  <w:style w:type="character" w:styleId="ListLabel315">
    <w:name w:val="ListLabel 315"/>
    <w:qFormat/>
    <w:rPr>
      <w:rFonts w:cs="OpenSymbol"/>
    </w:rPr>
  </w:style>
  <w:style w:type="character" w:styleId="ListLabel316">
    <w:name w:val="ListLabel 316"/>
    <w:qFormat/>
    <w:rPr>
      <w:rFonts w:cs="OpenSymbol"/>
    </w:rPr>
  </w:style>
  <w:style w:type="character" w:styleId="ListLabel317">
    <w:name w:val="ListLabel 317"/>
    <w:qFormat/>
    <w:rPr>
      <w:rFonts w:cs="OpenSymbol"/>
    </w:rPr>
  </w:style>
  <w:style w:type="character" w:styleId="ListLabel318">
    <w:name w:val="ListLabel 318"/>
    <w:qFormat/>
    <w:rPr>
      <w:rFonts w:cs="OpenSymbol"/>
    </w:rPr>
  </w:style>
  <w:style w:type="character" w:styleId="ListLabel319">
    <w:name w:val="ListLabel 319"/>
    <w:qFormat/>
    <w:rPr>
      <w:rFonts w:ascii="Noto Sans" w:hAnsi="Noto Sans"/>
      <w:b/>
      <w:bCs/>
      <w:sz w:val="16"/>
      <w:szCs w:val="16"/>
    </w:rPr>
  </w:style>
  <w:style w:type="character" w:styleId="ListLabel320">
    <w:name w:val="ListLabel 320"/>
    <w:qFormat/>
    <w:rPr>
      <w:rFonts w:ascii="Noto Sans" w:hAnsi="Noto Sans"/>
      <w:i/>
      <w:iCs/>
      <w:sz w:val="20"/>
      <w:szCs w:val="20"/>
      <w:u w:val="none"/>
      <w:lang w:val="ca-ES" w:bidi="ar-SA"/>
    </w:rPr>
  </w:style>
  <w:style w:type="character" w:styleId="ListLabel321">
    <w:name w:val="ListLabel 321"/>
    <w:qFormat/>
    <w:rPr>
      <w:rFonts w:ascii="Noto Sans" w:hAnsi="Noto Sans"/>
      <w:color w:val="000000"/>
      <w:sz w:val="20"/>
      <w:szCs w:val="20"/>
      <w:u w:val="none"/>
      <w:lang w:val="ca-ES" w:bidi="ar-SA"/>
    </w:rPr>
  </w:style>
  <w:style w:type="character" w:styleId="ListLabel322">
    <w:name w:val="ListLabel 322"/>
    <w:qFormat/>
    <w:rPr>
      <w:rFonts w:ascii="Noto Sans" w:hAnsi="Noto Sans" w:cs="OpenSymbol"/>
      <w:b/>
      <w:sz w:val="20"/>
    </w:rPr>
  </w:style>
  <w:style w:type="character" w:styleId="ListLabel323">
    <w:name w:val="ListLabel 323"/>
    <w:qFormat/>
    <w:rPr>
      <w:rFonts w:cs="OpenSymbol"/>
    </w:rPr>
  </w:style>
  <w:style w:type="character" w:styleId="ListLabel324">
    <w:name w:val="ListLabel 324"/>
    <w:qFormat/>
    <w:rPr>
      <w:rFonts w:cs="OpenSymbol"/>
    </w:rPr>
  </w:style>
  <w:style w:type="character" w:styleId="ListLabel325">
    <w:name w:val="ListLabel 325"/>
    <w:qFormat/>
    <w:rPr>
      <w:rFonts w:cs="OpenSymbol"/>
    </w:rPr>
  </w:style>
  <w:style w:type="character" w:styleId="ListLabel326">
    <w:name w:val="ListLabel 326"/>
    <w:qFormat/>
    <w:rPr>
      <w:rFonts w:cs="OpenSymbol"/>
    </w:rPr>
  </w:style>
  <w:style w:type="character" w:styleId="ListLabel327">
    <w:name w:val="ListLabel 327"/>
    <w:qFormat/>
    <w:rPr>
      <w:rFonts w:cs="OpenSymbol"/>
    </w:rPr>
  </w:style>
  <w:style w:type="character" w:styleId="ListLabel328">
    <w:name w:val="ListLabel 328"/>
    <w:qFormat/>
    <w:rPr>
      <w:rFonts w:cs="OpenSymbol"/>
    </w:rPr>
  </w:style>
  <w:style w:type="character" w:styleId="ListLabel329">
    <w:name w:val="ListLabel 329"/>
    <w:qFormat/>
    <w:rPr>
      <w:rFonts w:cs="OpenSymbol"/>
    </w:rPr>
  </w:style>
  <w:style w:type="character" w:styleId="ListLabel330">
    <w:name w:val="ListLabel 330"/>
    <w:qFormat/>
    <w:rPr>
      <w:rFonts w:cs="OpenSymbol"/>
    </w:rPr>
  </w:style>
  <w:style w:type="character" w:styleId="ListLabel331">
    <w:name w:val="ListLabel 331"/>
    <w:qFormat/>
    <w:rPr>
      <w:rFonts w:ascii="Noto Sans" w:hAnsi="Noto Sans" w:cs="OpenSymbol"/>
      <w:b w:val="false"/>
      <w:sz w:val="20"/>
    </w:rPr>
  </w:style>
  <w:style w:type="character" w:styleId="ListLabel332">
    <w:name w:val="ListLabel 332"/>
    <w:qFormat/>
    <w:rPr>
      <w:rFonts w:cs="OpenSymbol"/>
    </w:rPr>
  </w:style>
  <w:style w:type="character" w:styleId="ListLabel333">
    <w:name w:val="ListLabel 333"/>
    <w:qFormat/>
    <w:rPr>
      <w:rFonts w:cs="OpenSymbol"/>
    </w:rPr>
  </w:style>
  <w:style w:type="character" w:styleId="ListLabel334">
    <w:name w:val="ListLabel 334"/>
    <w:qFormat/>
    <w:rPr>
      <w:rFonts w:cs="OpenSymbol"/>
    </w:rPr>
  </w:style>
  <w:style w:type="character" w:styleId="ListLabel335">
    <w:name w:val="ListLabel 335"/>
    <w:qFormat/>
    <w:rPr>
      <w:rFonts w:cs="OpenSymbol"/>
    </w:rPr>
  </w:style>
  <w:style w:type="character" w:styleId="ListLabel336">
    <w:name w:val="ListLabel 336"/>
    <w:qFormat/>
    <w:rPr>
      <w:rFonts w:cs="OpenSymbol"/>
    </w:rPr>
  </w:style>
  <w:style w:type="character" w:styleId="ListLabel337">
    <w:name w:val="ListLabel 337"/>
    <w:qFormat/>
    <w:rPr>
      <w:rFonts w:cs="OpenSymbol"/>
    </w:rPr>
  </w:style>
  <w:style w:type="character" w:styleId="ListLabel338">
    <w:name w:val="ListLabel 338"/>
    <w:qFormat/>
    <w:rPr>
      <w:rFonts w:cs="OpenSymbol"/>
    </w:rPr>
  </w:style>
  <w:style w:type="character" w:styleId="ListLabel339">
    <w:name w:val="ListLabel 339"/>
    <w:qFormat/>
    <w:rPr>
      <w:rFonts w:cs="OpenSymbol"/>
    </w:rPr>
  </w:style>
  <w:style w:type="character" w:styleId="ListLabel340">
    <w:name w:val="ListLabel 340"/>
    <w:qFormat/>
    <w:rPr>
      <w:rFonts w:ascii="Noto Sans" w:hAnsi="Noto Sans"/>
      <w:b w:val="false"/>
      <w:bCs w:val="false"/>
      <w:i w:val="false"/>
      <w:iCs w:val="false"/>
      <w:sz w:val="17"/>
      <w:szCs w:val="17"/>
      <w:u w:val="none"/>
    </w:rPr>
  </w:style>
  <w:style w:type="character" w:styleId="ListLabel341">
    <w:name w:val="ListLabel 341"/>
    <w:qFormat/>
    <w:rPr>
      <w:rFonts w:ascii="Noto Sans" w:hAnsi="Noto Sans"/>
      <w:b w:val="false"/>
      <w:bCs w:val="false"/>
      <w:sz w:val="17"/>
      <w:szCs w:val="17"/>
      <w:u w:val="none"/>
    </w:rPr>
  </w:style>
  <w:style w:type="character" w:styleId="ListLabel342">
    <w:name w:val="ListLabel 342"/>
    <w:qFormat/>
    <w:rPr>
      <w:rFonts w:ascii="Noto Sans" w:hAnsi="Noto Sans"/>
      <w:b w:val="false"/>
      <w:bCs w:val="false"/>
      <w:sz w:val="17"/>
      <w:szCs w:val="17"/>
    </w:rPr>
  </w:style>
  <w:style w:type="character" w:styleId="ListLabel343">
    <w:name w:val="ListLabel 343"/>
    <w:qFormat/>
    <w:rPr>
      <w:rFonts w:ascii="Noto Sans" w:hAnsi="Noto Sans"/>
      <w:i/>
      <w:iCs/>
      <w:sz w:val="20"/>
      <w:szCs w:val="20"/>
      <w:u w:val="none"/>
      <w:lang w:val="ca-ES" w:bidi="ar-SA"/>
    </w:rPr>
  </w:style>
  <w:style w:type="character" w:styleId="ListLabel344">
    <w:name w:val="ListLabel 344"/>
    <w:qFormat/>
    <w:rPr>
      <w:rFonts w:ascii="Noto Sans" w:hAnsi="Noto Sans"/>
      <w:color w:val="000000"/>
      <w:sz w:val="20"/>
      <w:szCs w:val="20"/>
      <w:u w:val="none"/>
      <w:lang w:val="ca-ES" w:bidi="ar-SA"/>
    </w:rPr>
  </w:style>
  <w:style w:type="character" w:styleId="ListLabel345">
    <w:name w:val="ListLabel 345"/>
    <w:qFormat/>
    <w:rPr>
      <w:rFonts w:ascii="Noto Sans" w:hAnsi="Noto Sans" w:cs="OpenSymbol"/>
      <w:b/>
      <w:sz w:val="20"/>
    </w:rPr>
  </w:style>
  <w:style w:type="character" w:styleId="ListLabel346">
    <w:name w:val="ListLabel 346"/>
    <w:qFormat/>
    <w:rPr>
      <w:rFonts w:cs="OpenSymbol"/>
    </w:rPr>
  </w:style>
  <w:style w:type="character" w:styleId="ListLabel347">
    <w:name w:val="ListLabel 347"/>
    <w:qFormat/>
    <w:rPr>
      <w:rFonts w:cs="OpenSymbol"/>
    </w:rPr>
  </w:style>
  <w:style w:type="character" w:styleId="ListLabel348">
    <w:name w:val="ListLabel 348"/>
    <w:qFormat/>
    <w:rPr>
      <w:rFonts w:cs="OpenSymbol"/>
    </w:rPr>
  </w:style>
  <w:style w:type="character" w:styleId="ListLabel349">
    <w:name w:val="ListLabel 349"/>
    <w:qFormat/>
    <w:rPr>
      <w:rFonts w:cs="OpenSymbol"/>
    </w:rPr>
  </w:style>
  <w:style w:type="character" w:styleId="ListLabel350">
    <w:name w:val="ListLabel 350"/>
    <w:qFormat/>
    <w:rPr>
      <w:rFonts w:cs="OpenSymbol"/>
    </w:rPr>
  </w:style>
  <w:style w:type="character" w:styleId="ListLabel351">
    <w:name w:val="ListLabel 351"/>
    <w:qFormat/>
    <w:rPr>
      <w:rFonts w:cs="OpenSymbol"/>
    </w:rPr>
  </w:style>
  <w:style w:type="character" w:styleId="ListLabel352">
    <w:name w:val="ListLabel 352"/>
    <w:qFormat/>
    <w:rPr>
      <w:rFonts w:cs="OpenSymbol"/>
    </w:rPr>
  </w:style>
  <w:style w:type="character" w:styleId="ListLabel353">
    <w:name w:val="ListLabel 353"/>
    <w:qFormat/>
    <w:rPr>
      <w:rFonts w:cs="OpenSymbol"/>
    </w:rPr>
  </w:style>
  <w:style w:type="character" w:styleId="ListLabel354">
    <w:name w:val="ListLabel 354"/>
    <w:qFormat/>
    <w:rPr>
      <w:rFonts w:ascii="Noto Sans" w:hAnsi="Noto Sans" w:cs="OpenSymbol"/>
      <w:b w:val="false"/>
      <w:sz w:val="20"/>
    </w:rPr>
  </w:style>
  <w:style w:type="character" w:styleId="ListLabel355">
    <w:name w:val="ListLabel 355"/>
    <w:qFormat/>
    <w:rPr>
      <w:rFonts w:cs="OpenSymbol"/>
    </w:rPr>
  </w:style>
  <w:style w:type="character" w:styleId="ListLabel356">
    <w:name w:val="ListLabel 356"/>
    <w:qFormat/>
    <w:rPr>
      <w:rFonts w:cs="OpenSymbol"/>
    </w:rPr>
  </w:style>
  <w:style w:type="character" w:styleId="ListLabel357">
    <w:name w:val="ListLabel 357"/>
    <w:qFormat/>
    <w:rPr>
      <w:rFonts w:cs="OpenSymbol"/>
    </w:rPr>
  </w:style>
  <w:style w:type="character" w:styleId="ListLabel358">
    <w:name w:val="ListLabel 358"/>
    <w:qFormat/>
    <w:rPr>
      <w:rFonts w:cs="OpenSymbol"/>
    </w:rPr>
  </w:style>
  <w:style w:type="character" w:styleId="ListLabel359">
    <w:name w:val="ListLabel 359"/>
    <w:qFormat/>
    <w:rPr>
      <w:rFonts w:cs="OpenSymbol"/>
    </w:rPr>
  </w:style>
  <w:style w:type="character" w:styleId="ListLabel360">
    <w:name w:val="ListLabel 360"/>
    <w:qFormat/>
    <w:rPr>
      <w:rFonts w:cs="OpenSymbol"/>
    </w:rPr>
  </w:style>
  <w:style w:type="character" w:styleId="ListLabel361">
    <w:name w:val="ListLabel 361"/>
    <w:qFormat/>
    <w:rPr>
      <w:rFonts w:cs="OpenSymbol"/>
    </w:rPr>
  </w:style>
  <w:style w:type="character" w:styleId="ListLabel362">
    <w:name w:val="ListLabel 362"/>
    <w:qFormat/>
    <w:rPr>
      <w:rFonts w:cs="OpenSymbol"/>
    </w:rPr>
  </w:style>
  <w:style w:type="character" w:styleId="ListLabel363">
    <w:name w:val="ListLabel 363"/>
    <w:qFormat/>
    <w:rPr>
      <w:rFonts w:ascii="Noto Sans" w:hAnsi="Noto Sans"/>
      <w:b w:val="false"/>
      <w:bCs w:val="false"/>
      <w:i w:val="false"/>
      <w:iCs w:val="false"/>
      <w:sz w:val="17"/>
      <w:szCs w:val="17"/>
      <w:u w:val="none"/>
    </w:rPr>
  </w:style>
  <w:style w:type="character" w:styleId="ListLabel364">
    <w:name w:val="ListLabel 364"/>
    <w:qFormat/>
    <w:rPr>
      <w:rFonts w:ascii="Noto Sans" w:hAnsi="Noto Sans"/>
      <w:b w:val="false"/>
      <w:bCs w:val="false"/>
      <w:sz w:val="17"/>
      <w:szCs w:val="17"/>
      <w:u w:val="none"/>
    </w:rPr>
  </w:style>
  <w:style w:type="character" w:styleId="ListLabel365">
    <w:name w:val="ListLabel 365"/>
    <w:qFormat/>
    <w:rPr>
      <w:rFonts w:ascii="Noto Sans" w:hAnsi="Noto Sans"/>
      <w:b w:val="false"/>
      <w:bCs w:val="false"/>
      <w:sz w:val="17"/>
      <w:szCs w:val="17"/>
    </w:rPr>
  </w:style>
  <w:style w:type="character" w:styleId="EnlacedeInternet">
    <w:name w:val="Enlace de Internet"/>
    <w:rPr>
      <w:color w:val="000080"/>
      <w:u w:val="single"/>
      <w:lang w:val="zxx" w:eastAsia="zxx" w:bidi="zxx"/>
    </w:rPr>
  </w:style>
  <w:style w:type="character" w:styleId="ListLabel366">
    <w:name w:val="ListLabel 366"/>
    <w:qFormat/>
    <w:rPr>
      <w:rFonts w:ascii="Noto Sans" w:hAnsi="Noto Sans"/>
      <w:i/>
      <w:iCs/>
      <w:sz w:val="20"/>
      <w:szCs w:val="20"/>
      <w:u w:val="none"/>
      <w:lang w:val="ca-ES" w:bidi="ar-SA"/>
    </w:rPr>
  </w:style>
  <w:style w:type="character" w:styleId="ListLabel367">
    <w:name w:val="ListLabel 367"/>
    <w:qFormat/>
    <w:rPr>
      <w:rFonts w:ascii="Noto Sans" w:hAnsi="Noto Sans"/>
      <w:color w:val="000000"/>
      <w:sz w:val="20"/>
      <w:szCs w:val="20"/>
      <w:u w:val="none"/>
      <w:lang w:val="ca-ES" w:bidi="ar-SA"/>
    </w:rPr>
  </w:style>
  <w:style w:type="character" w:styleId="Caracteresdenotaalpie">
    <w:name w:val="Caracteres de nota al pie"/>
    <w:qFormat/>
    <w:rPr/>
  </w:style>
  <w:style w:type="character" w:styleId="Ancladenotaalpie">
    <w:name w:val="Ancla de nota al pie"/>
    <w:rPr>
      <w:vertAlign w:val="superscript"/>
    </w:rPr>
  </w:style>
  <w:style w:type="character" w:styleId="Ancladenotafinal">
    <w:name w:val="Ancla de nota final"/>
    <w:rPr>
      <w:vertAlign w:val="superscript"/>
    </w:rPr>
  </w:style>
  <w:style w:type="character" w:styleId="Caracteresdenotafinal">
    <w:name w:val="Caracteres de nota final"/>
    <w:qFormat/>
    <w:rPr/>
  </w:style>
  <w:style w:type="character" w:styleId="ListLabel368">
    <w:name w:val="ListLabel 368"/>
    <w:qFormat/>
    <w:rPr>
      <w:rFonts w:ascii="Noto Sans" w:hAnsi="Noto Sans" w:cs="OpenSymbol"/>
      <w:b/>
      <w:sz w:val="20"/>
    </w:rPr>
  </w:style>
  <w:style w:type="character" w:styleId="ListLabel369">
    <w:name w:val="ListLabel 369"/>
    <w:qFormat/>
    <w:rPr>
      <w:rFonts w:cs="OpenSymbol"/>
    </w:rPr>
  </w:style>
  <w:style w:type="character" w:styleId="ListLabel370">
    <w:name w:val="ListLabel 370"/>
    <w:qFormat/>
    <w:rPr>
      <w:rFonts w:cs="OpenSymbol"/>
    </w:rPr>
  </w:style>
  <w:style w:type="character" w:styleId="ListLabel371">
    <w:name w:val="ListLabel 371"/>
    <w:qFormat/>
    <w:rPr>
      <w:rFonts w:cs="OpenSymbol"/>
    </w:rPr>
  </w:style>
  <w:style w:type="character" w:styleId="ListLabel372">
    <w:name w:val="ListLabel 372"/>
    <w:qFormat/>
    <w:rPr>
      <w:rFonts w:cs="OpenSymbol"/>
    </w:rPr>
  </w:style>
  <w:style w:type="character" w:styleId="ListLabel373">
    <w:name w:val="ListLabel 373"/>
    <w:qFormat/>
    <w:rPr>
      <w:rFonts w:cs="OpenSymbol"/>
    </w:rPr>
  </w:style>
  <w:style w:type="character" w:styleId="ListLabel374">
    <w:name w:val="ListLabel 374"/>
    <w:qFormat/>
    <w:rPr>
      <w:rFonts w:cs="OpenSymbol"/>
    </w:rPr>
  </w:style>
  <w:style w:type="character" w:styleId="ListLabel375">
    <w:name w:val="ListLabel 375"/>
    <w:qFormat/>
    <w:rPr>
      <w:rFonts w:cs="OpenSymbol"/>
    </w:rPr>
  </w:style>
  <w:style w:type="character" w:styleId="ListLabel376">
    <w:name w:val="ListLabel 376"/>
    <w:qFormat/>
    <w:rPr>
      <w:rFonts w:cs="OpenSymbol"/>
    </w:rPr>
  </w:style>
  <w:style w:type="character" w:styleId="ListLabel377">
    <w:name w:val="ListLabel 377"/>
    <w:qFormat/>
    <w:rPr>
      <w:rFonts w:ascii="Noto Sans" w:hAnsi="Noto Sans" w:cs="OpenSymbol"/>
      <w:b w:val="false"/>
      <w:sz w:val="20"/>
    </w:rPr>
  </w:style>
  <w:style w:type="character" w:styleId="ListLabel378">
    <w:name w:val="ListLabel 378"/>
    <w:qFormat/>
    <w:rPr>
      <w:rFonts w:cs="OpenSymbol"/>
    </w:rPr>
  </w:style>
  <w:style w:type="character" w:styleId="ListLabel379">
    <w:name w:val="ListLabel 379"/>
    <w:qFormat/>
    <w:rPr>
      <w:rFonts w:cs="OpenSymbol"/>
    </w:rPr>
  </w:style>
  <w:style w:type="character" w:styleId="ListLabel380">
    <w:name w:val="ListLabel 380"/>
    <w:qFormat/>
    <w:rPr>
      <w:rFonts w:cs="OpenSymbol"/>
    </w:rPr>
  </w:style>
  <w:style w:type="character" w:styleId="ListLabel381">
    <w:name w:val="ListLabel 381"/>
    <w:qFormat/>
    <w:rPr>
      <w:rFonts w:cs="OpenSymbol"/>
    </w:rPr>
  </w:style>
  <w:style w:type="character" w:styleId="ListLabel382">
    <w:name w:val="ListLabel 382"/>
    <w:qFormat/>
    <w:rPr>
      <w:rFonts w:cs="OpenSymbol"/>
    </w:rPr>
  </w:style>
  <w:style w:type="character" w:styleId="ListLabel383">
    <w:name w:val="ListLabel 383"/>
    <w:qFormat/>
    <w:rPr>
      <w:rFonts w:cs="OpenSymbol"/>
    </w:rPr>
  </w:style>
  <w:style w:type="character" w:styleId="ListLabel384">
    <w:name w:val="ListLabel 384"/>
    <w:qFormat/>
    <w:rPr>
      <w:rFonts w:cs="OpenSymbol"/>
    </w:rPr>
  </w:style>
  <w:style w:type="character" w:styleId="ListLabel385">
    <w:name w:val="ListLabel 385"/>
    <w:qFormat/>
    <w:rPr>
      <w:rFonts w:cs="OpenSymbol"/>
    </w:rPr>
  </w:style>
  <w:style w:type="character" w:styleId="ListLabel386">
    <w:name w:val="ListLabel 386"/>
    <w:qFormat/>
    <w:rPr>
      <w:rFonts w:ascii="Noto Sans" w:hAnsi="Noto Sans"/>
      <w:b w:val="false"/>
      <w:bCs w:val="false"/>
      <w:i w:val="false"/>
      <w:iCs w:val="false"/>
      <w:sz w:val="17"/>
      <w:szCs w:val="17"/>
      <w:u w:val="none"/>
    </w:rPr>
  </w:style>
  <w:style w:type="character" w:styleId="ListLabel387">
    <w:name w:val="ListLabel 387"/>
    <w:qFormat/>
    <w:rPr>
      <w:rFonts w:ascii="Noto Sans" w:hAnsi="Noto Sans"/>
      <w:b w:val="false"/>
      <w:bCs w:val="false"/>
      <w:sz w:val="17"/>
      <w:szCs w:val="17"/>
      <w:u w:val="none"/>
    </w:rPr>
  </w:style>
  <w:style w:type="character" w:styleId="ListLabel388">
    <w:name w:val="ListLabel 388"/>
    <w:qFormat/>
    <w:rPr>
      <w:rFonts w:ascii="Noto Sans" w:hAnsi="Noto Sans"/>
      <w:b w:val="false"/>
      <w:bCs w:val="false"/>
      <w:sz w:val="17"/>
      <w:szCs w:val="17"/>
    </w:rPr>
  </w:style>
  <w:style w:type="character" w:styleId="ListLabel389">
    <w:name w:val="ListLabel 389"/>
    <w:qFormat/>
    <w:rPr>
      <w:rFonts w:ascii="Noto Sans" w:hAnsi="Noto Sans"/>
      <w:i/>
      <w:iCs/>
      <w:sz w:val="20"/>
      <w:szCs w:val="20"/>
      <w:u w:val="none"/>
      <w:lang w:val="ca-ES" w:bidi="ar-SA"/>
    </w:rPr>
  </w:style>
  <w:style w:type="character" w:styleId="ListLabel390">
    <w:name w:val="ListLabel 390"/>
    <w:qFormat/>
    <w:rPr>
      <w:rFonts w:ascii="Noto Sans" w:hAnsi="Noto Sans"/>
      <w:color w:val="000000"/>
      <w:sz w:val="20"/>
      <w:szCs w:val="20"/>
      <w:u w:val="none"/>
      <w:lang w:val="ca-ES" w:bidi="ar-SA"/>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ncapalament">
    <w:name w:val="Encapçalament"/>
    <w:basedOn w:val="Normal"/>
    <w:next w:val="Cuerpodetexto"/>
    <w:qFormat/>
    <w:pPr>
      <w:keepNext w:val="true"/>
      <w:spacing w:before="240" w:after="120"/>
    </w:pPr>
    <w:rPr>
      <w:rFonts w:ascii="Liberation Sans" w:hAnsi="Liberation Sans" w:eastAsia="Microsoft YaHei" w:cs="Arial"/>
      <w:sz w:val="28"/>
      <w:szCs w:val="28"/>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ie">
    <w:name w:val="Footnote Text"/>
    <w:basedOn w:val="Normal"/>
    <w:pPr>
      <w:suppressLineNumbers/>
      <w:ind w:left="339" w:right="0" w:hanging="339"/>
    </w:pPr>
    <w:rPr>
      <w:sz w:val="20"/>
      <w:szCs w:val="20"/>
    </w:rPr>
  </w:style>
  <w:style w:type="paragraph" w:styleId="Cabecera">
    <w:name w:val="Header"/>
    <w:basedOn w:val="Normal"/>
    <w:pPr>
      <w:suppressLineNumbers/>
      <w:tabs>
        <w:tab w:val="clear" w:pos="720"/>
        <w:tab w:val="center" w:pos="7285" w:leader="none"/>
        <w:tab w:val="right" w:pos="14570" w:leader="none"/>
      </w:tabs>
    </w:pPr>
    <w:rPr/>
  </w:style>
  <w:style w:type="paragraph" w:styleId="LOnormal">
    <w:name w:val="LO-normal"/>
    <w:qFormat/>
    <w:pPr>
      <w:widowControl/>
      <w:overflowPunct w:val="false"/>
      <w:bidi w:val="0"/>
      <w:spacing w:before="0" w:after="120"/>
      <w:jc w:val="both"/>
    </w:pPr>
    <w:rPr>
      <w:rFonts w:ascii="LegacySanITCBoo" w:hAnsi="LegacySanITCBoo" w:eastAsia="LegacySanITCBoo" w:cs="LegacySanITCBoo"/>
      <w:color w:val="000000"/>
      <w:kern w:val="2"/>
      <w:sz w:val="26"/>
      <w:szCs w:val="26"/>
      <w:lang w:val="es-ES" w:eastAsia="zh-CN"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s://www.firab.org/ca/programacion/2025/" TargetMode="External"/><Relationship Id="rId4" Type="http://schemas.openxmlformats.org/officeDocument/2006/relationships/hyperlink" Target="http://www.iebalearics.org/" TargetMode="External"/><Relationship Id="rId5" Type="http://schemas.openxmlformats.org/officeDocument/2006/relationships/hyperlink" Target="http://www.iebalearics.org.v/"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notes" Target="footnotes.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595</TotalTime>
  <Application>LibreOffice/6.1.5.2$Windows_x86 LibreOffice_project/90f8dcf33c87b3705e78202e3df5142b201bd805</Application>
  <Pages>15</Pages>
  <Words>2383</Words>
  <Characters>13546</Characters>
  <CharactersWithSpaces>15804</CharactersWithSpaces>
  <Paragraphs>132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2025-02-10T08:34:58Z</cp:lastPrinted>
  <dcterms:modified xsi:type="dcterms:W3CDTF">2026-02-23T12:22:58Z</dcterms:modified>
  <cp:revision>36</cp:revision>
  <dc:subject/>
  <dc:title/>
</cp:coreProperties>
</file>