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header1.xml.rels" ContentType="application/vnd.openxmlformats-package.relationships+xml"/>
  <Override PartName="/word/_rels/foot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pBdr/>
        <w:shd w:val="clear" w:fill="auto"/>
        <w:spacing w:lineRule="auto" w:line="240" w:before="0" w:after="0"/>
        <w:ind w:left="0" w:right="0" w:hanging="0"/>
        <w:rPr>
          <w:b/>
          <w:b/>
          <w:sz w:val="22"/>
          <w:szCs w:val="22"/>
        </w:rPr>
      </w:pPr>
      <w:r>
        <w:rPr>
          <w:b/>
          <w:sz w:val="22"/>
          <w:szCs w:val="22"/>
        </w:rPr>
      </w:r>
    </w:p>
    <w:p>
      <w:pPr>
        <w:pStyle w:val="Normal"/>
        <w:keepNext w:val="false"/>
        <w:keepLines w:val="false"/>
        <w:pageBreakBefore w:val="false"/>
        <w:widowControl w:val="false"/>
        <w:pBdr/>
        <w:shd w:val="clear" w:fill="auto"/>
        <w:spacing w:lineRule="auto" w:line="240" w:before="0" w:after="0"/>
        <w:ind w:left="0" w:right="0" w:hanging="0"/>
        <w:jc w:val="both"/>
        <w:rPr>
          <w:rFonts w:ascii="Noto Sans" w:hAnsi="Noto Sans" w:eastAsia="Noto Sans" w:cs="Noto Sans"/>
          <w:b/>
          <w:b/>
          <w:i w:val="false"/>
          <w:i w:val="false"/>
          <w:caps w:val="false"/>
          <w:smallCaps w:val="false"/>
          <w:strik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MEMÒRIA ANUAL D’ACTIVITATS DEL REGISTRE D’ENTITATS I ELS SERVEIS D’ORIENTACIÓ PROFESSIONAL I ELS SERVEIS COMPLEMENTARIS</w:t>
      </w:r>
    </w:p>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bl>
      <w:tblPr>
        <w:tblStyle w:val="Table1"/>
        <w:tblW w:w="958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2564"/>
        <w:gridCol w:w="7020"/>
      </w:tblGrid>
      <w:tr>
        <w:trPr/>
        <w:tc>
          <w:tcPr>
            <w:tcW w:w="256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0"/>
                <w:sz w:val="20"/>
                <w:szCs w:val="20"/>
                <w:u w:val="none"/>
                <w:shd w:fill="auto" w:val="clear"/>
                <w:vertAlign w:val="baseline"/>
              </w:rPr>
              <w:t>Període d’activitat:</w:t>
            </w:r>
          </w:p>
        </w:tc>
        <w:tc>
          <w:tcPr>
            <w:tcW w:w="702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1 de gener a 31 de desembre de 2024</w:t>
            </w:r>
          </w:p>
        </w:tc>
      </w:tr>
    </w:tbl>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bl>
      <w:tblPr>
        <w:tblStyle w:val="Table2"/>
        <w:tblW w:w="9630" w:type="dxa"/>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4365"/>
        <w:gridCol w:w="2039"/>
        <w:gridCol w:w="3226"/>
      </w:tblGrid>
      <w:tr>
        <w:trPr/>
        <w:tc>
          <w:tcPr>
            <w:tcW w:w="963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1. Identificació de l’entitat</w:t>
            </w:r>
          </w:p>
        </w:tc>
      </w:tr>
      <w:tr>
        <w:trPr/>
        <w:tc>
          <w:tcPr>
            <w:tcW w:w="4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Nom</w:t>
            </w:r>
          </w:p>
        </w:tc>
        <w:tc>
          <w:tcPr>
            <w:tcW w:w="2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NIF</w:t>
            </w:r>
          </w:p>
        </w:tc>
        <w:tc>
          <w:tcPr>
            <w:tcW w:w="32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Núm. inscripció al Registre d’entitats d’orientació</w:t>
            </w:r>
          </w:p>
        </w:tc>
      </w:tr>
      <w:tr>
        <w:trPr>
          <w:trHeight w:val="481" w:hRule="atLeast"/>
        </w:trPr>
        <w:tc>
          <w:tcPr>
            <w:tcW w:w="4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c>
          <w:tcPr>
            <w:tcW w:w="2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c>
          <w:tcPr>
            <w:tcW w:w="32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bl>
      <w:tblPr>
        <w:tblStyle w:val="Table3"/>
        <w:tblW w:w="9630" w:type="dxa"/>
        <w:jc w:val="left"/>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Look w:val="0000"/>
      </w:tblPr>
      <w:tblGrid>
        <w:gridCol w:w="9630"/>
      </w:tblGrid>
      <w:tr>
        <w:trPr/>
        <w:tc>
          <w:tcPr>
            <w:tcW w:w="963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2. Relació de contractes, concerts, convenis i subvencions establerts amb el SOIB que tenen com a finalitat finançar la prestació del Servei d’Orientació Professional</w:t>
            </w:r>
          </w:p>
        </w:tc>
      </w:tr>
      <w:tr>
        <w:trPr/>
        <w:tc>
          <w:tcPr>
            <w:tcW w:w="9630"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sz w:val="20"/>
                <w:szCs w:val="20"/>
              </w:rPr>
            </w:pPr>
            <w:r>
              <w:rPr>
                <w:sz w:val="20"/>
                <w:szCs w:val="20"/>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
        <w:keepNext w:val="false"/>
        <w:keepLines w:val="false"/>
        <w:pageBreakBefore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bl>
      <w:tblPr>
        <w:tblStyle w:val="Table4"/>
        <w:tblW w:w="961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9615"/>
      </w:tblGrid>
      <w:tr>
        <w:trPr/>
        <w:tc>
          <w:tcPr>
            <w:tcW w:w="96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91"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3. Instal·lacions, mitjans i infraestructures</w:t>
            </w:r>
          </w:p>
        </w:tc>
      </w:tr>
    </w:tbl>
    <w:p>
      <w:pPr>
        <w:pStyle w:val="Normal"/>
        <w:keepNext w:val="false"/>
        <w:keepLines w:val="false"/>
        <w:pageBreakBefore w:val="false"/>
        <w:widowControl w:val="false"/>
        <w:pBdr/>
        <w:shd w:val="clear" w:fill="auto"/>
        <w:spacing w:lineRule="auto" w:line="240" w:before="0" w:after="0"/>
        <w:ind w:left="0" w:right="0" w:hanging="0"/>
        <w:jc w:val="left"/>
        <w:rPr>
          <w:sz w:val="22"/>
          <w:szCs w:val="22"/>
        </w:rPr>
      </w:pPr>
      <w:r>
        <w:rPr>
          <w:sz w:val="22"/>
          <w:szCs w:val="22"/>
        </w:rPr>
      </w:r>
    </w:p>
    <w:tbl>
      <w:tblPr>
        <w:tblStyle w:val="Table5"/>
        <w:tblW w:w="9630"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3015"/>
        <w:gridCol w:w="6614"/>
      </w:tblGrid>
      <w:tr>
        <w:trPr>
          <w:trHeight w:val="400" w:hRule="atLeast"/>
        </w:trPr>
        <w:tc>
          <w:tcPr>
            <w:tcW w:w="9629"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b/>
                <w:b/>
                <w:i w:val="false"/>
                <w:i w:val="false"/>
                <w:caps w:val="false"/>
                <w:smallCaps w:val="false"/>
                <w:strike w:val="false"/>
                <w:dstrike w:val="false"/>
                <w:color w:val="000000"/>
                <w:position w:val="0"/>
                <w:sz w:val="24"/>
                <w:sz w:val="24"/>
                <w:szCs w:val="24"/>
                <w:u w:val="none"/>
                <w:vertAlign w:val="baseline"/>
              </w:rPr>
            </w:pPr>
            <w:r>
              <w:rPr>
                <w:b/>
                <w:i w:val="false"/>
                <w:caps w:val="false"/>
                <w:smallCaps w:val="false"/>
                <w:strike w:val="false"/>
                <w:dstrike w:val="false"/>
                <w:color w:val="000000"/>
                <w:position w:val="0"/>
                <w:sz w:val="22"/>
                <w:sz w:val="22"/>
                <w:szCs w:val="22"/>
                <w:u w:val="none"/>
                <w:shd w:fill="auto" w:val="clear"/>
                <w:vertAlign w:val="baseline"/>
              </w:rPr>
              <w:t>Centres acreditats:</w:t>
            </w:r>
          </w:p>
        </w:tc>
      </w:tr>
      <w:tr>
        <w:trPr>
          <w:trHeight w:val="400" w:hRule="atLeast"/>
        </w:trPr>
        <w:tc>
          <w:tcPr>
            <w:tcW w:w="30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B7B7B7"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Tipus de centre</w:t>
            </w:r>
          </w:p>
        </w:tc>
        <w:tc>
          <w:tcPr>
            <w:tcW w:w="661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B7B7B7"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sz w:val="20"/>
                <w:szCs w:val="20"/>
              </w:rPr>
              <w:t>Indicar la d</w:t>
            </w: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irecci</w:t>
            </w:r>
            <w:r>
              <w:rPr>
                <w:sz w:val="20"/>
                <w:szCs w:val="20"/>
              </w:rPr>
              <w:t>ó</w:t>
            </w: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 xml:space="preserve"> dels centres acreditats:</w:t>
            </w:r>
          </w:p>
        </w:tc>
      </w:tr>
      <w:tr>
        <w:trPr>
          <w:trHeight w:val="400" w:hRule="atLeast"/>
        </w:trPr>
        <w:tc>
          <w:tcPr>
            <w:tcW w:w="30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Atenció principal</w:t>
            </w:r>
          </w:p>
        </w:tc>
        <w:tc>
          <w:tcPr>
            <w:tcW w:w="661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r>
      <w:tr>
        <w:trPr>
          <w:trHeight w:val="400" w:hRule="atLeast"/>
        </w:trPr>
        <w:tc>
          <w:tcPr>
            <w:tcW w:w="30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Atenció permanent</w:t>
            </w:r>
          </w:p>
        </w:tc>
        <w:tc>
          <w:tcPr>
            <w:tcW w:w="661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r>
      <w:tr>
        <w:trPr>
          <w:trHeight w:val="400" w:hRule="atLeast"/>
        </w:trPr>
        <w:tc>
          <w:tcPr>
            <w:tcW w:w="301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Atenció a demanda</w:t>
            </w:r>
          </w:p>
        </w:tc>
        <w:tc>
          <w:tcPr>
            <w:tcW w:w="661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
        <w:keepNext w:val="false"/>
        <w:keepLines w:val="false"/>
        <w:pageBreakBefore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tbl>
      <w:tblPr>
        <w:tblStyle w:val="Table6"/>
        <w:tblW w:w="9630" w:type="dxa"/>
        <w:jc w:val="left"/>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7935"/>
        <w:gridCol w:w="1694"/>
      </w:tblGrid>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b/>
                <w:b/>
                <w:sz w:val="22"/>
                <w:szCs w:val="22"/>
              </w:rPr>
            </w:pPr>
            <w:r>
              <w:rPr>
                <w:b/>
                <w:sz w:val="22"/>
                <w:szCs w:val="22"/>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Requisits mínims</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Marcar amb una X </w:t>
            </w:r>
            <w:r>
              <w:rPr>
                <w:sz w:val="18"/>
                <w:szCs w:val="18"/>
              </w:rPr>
              <w:t>si els espais acreditats compleixen amb els requisits mínims</w:t>
            </w:r>
          </w:p>
        </w:tc>
      </w:tr>
      <w:tr>
        <w:trPr>
          <w:trHeight w:val="310" w:hRule="atLeast"/>
        </w:trPr>
        <w:tc>
          <w:tcPr>
            <w:tcW w:w="962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val="false"/>
              <w:pBdr/>
              <w:shd w:val="clear" w:fill="auto"/>
              <w:spacing w:lineRule="auto" w:line="240" w:before="0" w:after="0"/>
              <w:ind w:left="0" w:right="0" w:hanging="0"/>
              <w:rPr>
                <w:b/>
                <w:b/>
                <w:i w:val="false"/>
                <w:i w:val="false"/>
                <w:caps w:val="false"/>
                <w:smallCaps w:val="false"/>
                <w:strike w:val="false"/>
                <w:dstrike w:val="false"/>
                <w:color w:val="000000"/>
                <w:position w:val="0"/>
                <w:sz w:val="24"/>
                <w:sz w:val="24"/>
                <w:szCs w:val="24"/>
                <w:u w:val="none"/>
                <w:vertAlign w:val="baseline"/>
              </w:rPr>
            </w:pPr>
            <w:r>
              <w:rPr>
                <w:b/>
                <w:i w:val="false"/>
                <w:caps w:val="false"/>
                <w:smallCaps w:val="false"/>
                <w:strike w:val="false"/>
                <w:dstrike w:val="false"/>
                <w:color w:val="000000"/>
                <w:position w:val="0"/>
                <w:sz w:val="22"/>
                <w:sz w:val="22"/>
                <w:szCs w:val="22"/>
                <w:u w:val="none"/>
                <w:shd w:fill="auto" w:val="clear"/>
                <w:vertAlign w:val="baseline"/>
              </w:rPr>
              <w:t>Centre d’atenció principal</w:t>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Zona de recepció</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d’atenció individual que asseguri la confidencialitat amb, com a mínim, taula, dues cadires i un ordinador c</w:t>
            </w:r>
            <w:r>
              <w:rPr>
                <w:sz w:val="22"/>
                <w:szCs w:val="22"/>
              </w:rPr>
              <w:t xml:space="preserve">onnectat </w:t>
            </w: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 xml:space="preserve"> a Internet.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d’atenció grupal amb taules i cadires per a cada usuari i per al personal orientador i, com a mínim, amb un ordinador  connectat a Internet.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per a tot el personal del Servei d’Orientació Professional per treballar-hi mentre no fa atenció individual o grupal.</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caps w:val="false"/>
                <w:smallCaps w:val="false"/>
                <w:strike w:val="false"/>
                <w:dstrike w:val="false"/>
                <w:color w:val="000000"/>
                <w:position w:val="0"/>
                <w:sz w:val="20"/>
                <w:sz w:val="20"/>
                <w:szCs w:val="20"/>
                <w:u w:val="none"/>
                <w:shd w:fill="auto" w:val="clear"/>
                <w:vertAlign w:val="baseline"/>
              </w:rPr>
              <w:t xml:space="preserve">(No </w:t>
            </w:r>
            <w:r>
              <w:rPr>
                <w:i/>
                <w:sz w:val="20"/>
                <w:szCs w:val="20"/>
              </w:rPr>
              <w:t>és obligatori si el personal</w:t>
            </w:r>
            <w:r>
              <w:rPr>
                <w:rFonts w:eastAsia="Noto Sans" w:cs="Noto Sans"/>
                <w:b w:val="false"/>
                <w:i/>
                <w:caps w:val="false"/>
                <w:smallCaps w:val="false"/>
                <w:strike w:val="false"/>
                <w:dstrike w:val="false"/>
                <w:color w:val="000000"/>
                <w:position w:val="0"/>
                <w:sz w:val="20"/>
                <w:sz w:val="20"/>
                <w:szCs w:val="20"/>
                <w:u w:val="none"/>
                <w:shd w:fill="auto" w:val="clear"/>
                <w:vertAlign w:val="baseline"/>
              </w:rPr>
              <w:t xml:space="preserve"> tècnic té despatxos d’ús individual)</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amb recursos necessaris per facilitar el procés d’inserció en igualtat de condicions</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Bany adaptat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rHeight w:val="310" w:hRule="atLeast"/>
        </w:trPr>
        <w:tc>
          <w:tcPr>
            <w:tcW w:w="962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val="false"/>
              <w:pBdr/>
              <w:shd w:val="clear" w:fill="auto"/>
              <w:spacing w:lineRule="auto" w:line="240" w:before="0" w:after="0"/>
              <w:ind w:left="0" w:right="0" w:hanging="0"/>
              <w:rPr>
                <w:b/>
                <w:b/>
                <w:i w:val="false"/>
                <w:i w:val="false"/>
                <w:caps w:val="false"/>
                <w:smallCaps w:val="false"/>
                <w:strike w:val="false"/>
                <w:dstrike w:val="false"/>
                <w:color w:val="000000"/>
                <w:position w:val="0"/>
                <w:sz w:val="24"/>
                <w:sz w:val="24"/>
                <w:szCs w:val="24"/>
                <w:u w:val="none"/>
                <w:vertAlign w:val="baseline"/>
              </w:rPr>
            </w:pPr>
            <w:r>
              <w:rPr>
                <w:b/>
                <w:i w:val="false"/>
                <w:caps w:val="false"/>
                <w:smallCaps w:val="false"/>
                <w:strike w:val="false"/>
                <w:dstrike w:val="false"/>
                <w:color w:val="000000"/>
                <w:position w:val="0"/>
                <w:sz w:val="22"/>
                <w:sz w:val="22"/>
                <w:szCs w:val="22"/>
                <w:u w:val="none"/>
                <w:shd w:fill="auto" w:val="clear"/>
                <w:vertAlign w:val="baseline"/>
              </w:rPr>
              <w:t>Punt d’atenció permanent</w:t>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d’atenció individual que asseguri la confidencialitat amb, com a mínim, taula, dues cadires i un ordinador c</w:t>
            </w:r>
            <w:r>
              <w:rPr>
                <w:sz w:val="22"/>
                <w:szCs w:val="22"/>
              </w:rPr>
              <w:t xml:space="preserve">onnectat </w:t>
            </w: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a Internet.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22"/>
                <w:szCs w:val="22"/>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 xml:space="preserve">Espai d’atenció grupal amb taules i cadires per a cada usuari i per al personal orientador i, com a mínim, amb un ordinador </w:t>
            </w:r>
            <w:r>
              <w:rPr>
                <w:sz w:val="22"/>
                <w:szCs w:val="22"/>
              </w:rPr>
              <w:t>connectat a Internet.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amb recursos necessaris per facilitar el procés d’inserció en igualtat de condicions</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Bany adaptat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r>
        <w:trPr>
          <w:trHeight w:val="310" w:hRule="atLeast"/>
        </w:trPr>
        <w:tc>
          <w:tcPr>
            <w:tcW w:w="962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val="false"/>
              <w:pBdr/>
              <w:shd w:val="clear" w:fill="auto"/>
              <w:spacing w:lineRule="auto" w:line="240" w:before="0" w:after="0"/>
              <w:ind w:left="0" w:right="0" w:hanging="0"/>
              <w:rPr>
                <w:b/>
                <w:b/>
                <w:i w:val="false"/>
                <w:i w:val="false"/>
                <w:caps w:val="false"/>
                <w:smallCaps w:val="false"/>
                <w:strike w:val="false"/>
                <w:dstrike w:val="false"/>
                <w:color w:val="000000"/>
                <w:position w:val="0"/>
                <w:sz w:val="24"/>
                <w:sz w:val="24"/>
                <w:szCs w:val="24"/>
                <w:u w:val="none"/>
                <w:vertAlign w:val="baseline"/>
              </w:rPr>
            </w:pPr>
            <w:r>
              <w:rPr>
                <w:b/>
                <w:i w:val="false"/>
                <w:caps w:val="false"/>
                <w:smallCaps w:val="false"/>
                <w:strike w:val="false"/>
                <w:dstrike w:val="false"/>
                <w:color w:val="000000"/>
                <w:position w:val="0"/>
                <w:sz w:val="22"/>
                <w:sz w:val="22"/>
                <w:szCs w:val="22"/>
                <w:u w:val="none"/>
                <w:shd w:fill="auto" w:val="clear"/>
                <w:vertAlign w:val="baseline"/>
              </w:rPr>
              <w:t>Punt d’atenció a demanda</w:t>
            </w:r>
          </w:p>
        </w:tc>
      </w:tr>
      <w:tr>
        <w:trPr/>
        <w:tc>
          <w:tcPr>
            <w:tcW w:w="79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Espai d’atenció individual que asseguri la confidencialitat amb, com a mínim, taula, dues cadires i un ordinador amb connexió a Internet.</w:t>
            </w:r>
          </w:p>
        </w:tc>
        <w:tc>
          <w:tcPr>
            <w:tcW w:w="16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
        <w:keepNext w:val="false"/>
        <w:keepLines w:val="false"/>
        <w:pageBreakBefore w:val="false"/>
        <w:widowControl w:val="false"/>
        <w:pBdr/>
        <w:shd w:val="clear" w:fill="auto"/>
        <w:spacing w:lineRule="auto" w:line="240" w:before="0" w:after="0"/>
        <w:ind w:left="0" w:right="-562" w:hanging="0"/>
        <w:jc w:val="both"/>
        <w:rPr>
          <w:rFonts w:ascii="Noto Sans" w:hAnsi="Noto Sans" w:eastAsia="Noto Sans" w:cs="Noto Sans"/>
          <w:b w:val="false"/>
          <w:b w:val="false"/>
          <w:i w:val="false"/>
          <w:i w:val="false"/>
          <w:caps w:val="false"/>
          <w:smallCaps w:val="false"/>
          <w:strike w:val="false"/>
          <w:dstrike w:val="false"/>
          <w:color w:val="FF0000"/>
          <w:position w:val="0"/>
          <w:sz w:val="24"/>
          <w:sz w:val="20"/>
          <w:szCs w:val="20"/>
          <w:u w:val="none"/>
          <w:vertAlign w:val="baseline"/>
        </w:rPr>
      </w:pPr>
      <w:r>
        <w:rPr>
          <w:rFonts w:eastAsia="Noto Sans" w:cs="Noto Sans"/>
          <w:b w:val="false"/>
          <w:i/>
          <w:caps w:val="false"/>
          <w:smallCaps w:val="false"/>
          <w:strike w:val="false"/>
          <w:dstrike w:val="false"/>
          <w:color w:val="000000"/>
          <w:position w:val="0"/>
          <w:sz w:val="16"/>
          <w:sz w:val="16"/>
          <w:szCs w:val="16"/>
          <w:u w:val="none"/>
          <w:shd w:fill="auto" w:val="clear"/>
          <w:vertAlign w:val="baseline"/>
        </w:rPr>
        <w:t>(Consultar l’article 8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w:t>
      </w:r>
    </w:p>
    <w:p>
      <w:pPr>
        <w:pStyle w:val="Normal"/>
        <w:keepNext w:val="false"/>
        <w:keepLines w:val="false"/>
        <w:pageBreakBefore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r>
    </w:p>
    <w:p>
      <w:pPr>
        <w:pStyle w:val="Normal"/>
        <w:keepNext w:val="false"/>
        <w:keepLines w:val="false"/>
        <w:pageBreakBefore w:val="false"/>
        <w:widowControl/>
        <w:pBdr/>
        <w:shd w:val="clear" w:fill="auto"/>
        <w:spacing w:lineRule="auto" w:line="240" w:before="0" w:after="0"/>
        <w:ind w:left="0" w:right="0" w:hanging="0"/>
        <w:jc w:val="left"/>
        <w:rPr>
          <w:sz w:val="20"/>
          <w:szCs w:val="20"/>
        </w:rPr>
      </w:pPr>
      <w:r>
        <w:rPr>
          <w:sz w:val="20"/>
          <w:szCs w:val="20"/>
        </w:rPr>
      </w:r>
    </w:p>
    <w:p>
      <w:pPr>
        <w:pStyle w:val="Normal"/>
        <w:keepNext w:val="false"/>
        <w:keepLines w:val="false"/>
        <w:pageBreakBefore w:val="false"/>
        <w:widowControl/>
        <w:pBdr/>
        <w:shd w:val="clear" w:fill="auto"/>
        <w:spacing w:lineRule="auto" w:line="240" w:before="0" w:after="0"/>
        <w:ind w:left="0" w:right="0" w:hanging="0"/>
        <w:jc w:val="left"/>
        <w:rPr>
          <w:sz w:val="20"/>
          <w:szCs w:val="20"/>
        </w:rPr>
      </w:pPr>
      <w:r>
        <w:rPr>
          <w:sz w:val="20"/>
          <w:szCs w:val="20"/>
        </w:rPr>
      </w:r>
    </w:p>
    <w:p>
      <w:pPr>
        <w:pStyle w:val="Normal"/>
        <w:keepNext w:val="false"/>
        <w:keepLines w:val="false"/>
        <w:pageBreakBefore w:val="false"/>
        <w:widowControl/>
        <w:pBdr/>
        <w:shd w:val="clear" w:fill="auto"/>
        <w:spacing w:lineRule="auto" w:line="240" w:before="0" w:after="0"/>
        <w:ind w:left="0" w:right="0" w:hanging="0"/>
        <w:jc w:val="left"/>
        <w:rPr>
          <w:sz w:val="20"/>
          <w:szCs w:val="20"/>
        </w:rPr>
      </w:pPr>
      <w:r>
        <w:rPr>
          <w:sz w:val="20"/>
          <w:szCs w:val="20"/>
        </w:rPr>
      </w:r>
    </w:p>
    <w:p>
      <w:pPr>
        <w:pStyle w:val="Normal"/>
        <w:keepNext w:val="false"/>
        <w:keepLines w:val="false"/>
        <w:pageBreakBefore w:val="false"/>
        <w:widowControl/>
        <w:pBdr/>
        <w:shd w:val="clear" w:fill="auto"/>
        <w:spacing w:lineRule="auto" w:line="240" w:before="0" w:after="0"/>
        <w:ind w:left="0" w:right="0" w:hanging="0"/>
        <w:jc w:val="left"/>
        <w:rPr>
          <w:sz w:val="20"/>
          <w:szCs w:val="20"/>
        </w:rPr>
      </w:pPr>
      <w:r>
        <w:rPr>
          <w:sz w:val="20"/>
          <w:szCs w:val="20"/>
        </w:rPr>
      </w:r>
    </w:p>
    <w:p>
      <w:pPr>
        <w:pStyle w:val="Normal"/>
        <w:keepNext w:val="false"/>
        <w:keepLines w:val="false"/>
        <w:pageBreakBefore w:val="false"/>
        <w:widowControl/>
        <w:pBdr/>
        <w:shd w:val="clear" w:fill="auto"/>
        <w:spacing w:lineRule="auto" w:line="240" w:before="0" w:after="0"/>
        <w:ind w:left="0" w:right="0" w:hanging="0"/>
        <w:jc w:val="left"/>
        <w:rPr>
          <w:sz w:val="20"/>
          <w:szCs w:val="20"/>
        </w:rPr>
      </w:pPr>
      <w:r>
        <w:rPr>
          <w:sz w:val="20"/>
          <w:szCs w:val="20"/>
        </w:rPr>
      </w:r>
    </w:p>
    <w:p>
      <w:pPr>
        <w:pStyle w:val="Normal"/>
        <w:rPr>
          <w:sz w:val="20"/>
          <w:szCs w:val="20"/>
        </w:rPr>
      </w:pPr>
      <w:r>
        <w:rPr>
          <w:sz w:val="20"/>
          <w:szCs w:val="20"/>
        </w:rPr>
      </w:r>
    </w:p>
    <w:tbl>
      <w:tblPr>
        <w:tblStyle w:val="Table7"/>
        <w:tblW w:w="9660" w:type="dxa"/>
        <w:jc w:val="left"/>
        <w:tblInd w:w="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1560"/>
        <w:gridCol w:w="1574"/>
        <w:gridCol w:w="1740"/>
        <w:gridCol w:w="1590"/>
        <w:gridCol w:w="1604"/>
        <w:gridCol w:w="1591"/>
      </w:tblGrid>
      <w:tr>
        <w:trPr>
          <w:trHeight w:val="345" w:hRule="atLeast"/>
        </w:trPr>
        <w:tc>
          <w:tcPr>
            <w:tcW w:w="9659"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i/>
                <w:i/>
                <w:sz w:val="20"/>
                <w:szCs w:val="20"/>
              </w:rPr>
            </w:pPr>
            <w:r>
              <w:rPr>
                <w:b/>
                <w:sz w:val="22"/>
                <w:szCs w:val="22"/>
              </w:rPr>
              <w:t xml:space="preserve">4. Unitats d’orientació que formen part del Servei d’Orientació acreditat </w:t>
            </w:r>
            <w:r>
              <w:rPr>
                <w:b/>
                <w:i/>
                <w:sz w:val="18"/>
                <w:szCs w:val="18"/>
              </w:rPr>
              <w:t>(per a complimentar aquest quadre s’ha de revisar l’article 7 del Decret 36/2022 que fa referència a les ràtios del personal de les unitats d’orientació)</w:t>
            </w:r>
          </w:p>
        </w:tc>
      </w:tr>
      <w:tr>
        <w:trPr>
          <w:trHeight w:val="1230"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rPr>
                <w:b/>
                <w:b/>
                <w:sz w:val="26"/>
                <w:szCs w:val="26"/>
              </w:rPr>
            </w:pPr>
            <w:r>
              <w:rPr>
                <w:b/>
                <w:sz w:val="20"/>
                <w:szCs w:val="20"/>
              </w:rPr>
              <w:t>Col·lectiu d’atenció</w:t>
            </w:r>
          </w:p>
          <w:p>
            <w:pPr>
              <w:pStyle w:val="Normal"/>
              <w:rPr>
                <w:sz w:val="12"/>
                <w:szCs w:val="12"/>
                <w:highlight w:val="red"/>
              </w:rPr>
            </w:pPr>
            <w:r>
              <w:rPr>
                <w:sz w:val="12"/>
                <w:szCs w:val="12"/>
                <w:highlight w:val="red"/>
              </w:rPr>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rPr>
                <w:b/>
                <w:b/>
              </w:rPr>
            </w:pPr>
            <w:r>
              <w:rPr>
                <w:b/>
                <w:sz w:val="18"/>
                <w:szCs w:val="18"/>
              </w:rPr>
              <w:t>Nombre d’unitats d’orientació acreditades per col·lectiu</w:t>
            </w:r>
          </w:p>
        </w:tc>
        <w:tc>
          <w:tcPr>
            <w:tcW w:w="174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widowControl w:val="false"/>
              <w:rPr>
                <w:b/>
                <w:b/>
                <w:strike/>
                <w:sz w:val="18"/>
                <w:szCs w:val="18"/>
              </w:rPr>
            </w:pPr>
            <w:r>
              <w:rPr>
                <w:b/>
                <w:sz w:val="18"/>
                <w:szCs w:val="18"/>
              </w:rPr>
              <w:t>Personal orientador (nombre i dedicació jornada laboral)</w:t>
            </w:r>
          </w:p>
        </w:tc>
        <w:tc>
          <w:tcPr>
            <w:tcW w:w="15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widowControl w:val="false"/>
              <w:rPr>
                <w:b/>
                <w:b/>
                <w:strike/>
                <w:sz w:val="18"/>
                <w:szCs w:val="18"/>
              </w:rPr>
            </w:pPr>
            <w:r>
              <w:rPr>
                <w:b/>
                <w:sz w:val="18"/>
                <w:szCs w:val="18"/>
              </w:rPr>
              <w:t>Personal coordinador (nombre i dedicació jornada laboral)</w:t>
            </w:r>
          </w:p>
        </w:tc>
        <w:tc>
          <w:tcPr>
            <w:tcW w:w="16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widowControl w:val="false"/>
              <w:rPr>
                <w:b/>
                <w:b/>
                <w:sz w:val="18"/>
                <w:szCs w:val="18"/>
              </w:rPr>
            </w:pPr>
            <w:r>
              <w:rPr>
                <w:b/>
                <w:sz w:val="18"/>
                <w:szCs w:val="18"/>
              </w:rPr>
              <w:t>Personal de sensibilització (nombre i dedicació jornada laboral)</w:t>
            </w:r>
          </w:p>
        </w:tc>
        <w:tc>
          <w:tcPr>
            <w:tcW w:w="1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widowControl w:val="false"/>
              <w:rPr>
                <w:b/>
                <w:b/>
                <w:strike/>
              </w:rPr>
            </w:pPr>
            <w:r>
              <w:rPr>
                <w:b/>
                <w:sz w:val="18"/>
                <w:szCs w:val="18"/>
              </w:rPr>
              <w:t>Personal d’informació (nombre i dedicació jornada laboral)</w:t>
            </w:r>
          </w:p>
        </w:tc>
      </w:tr>
      <w:tr>
        <w:trPr>
          <w:trHeight w:val="615"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en risc d’exclusió social</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2"/>
                <w:szCs w:val="22"/>
              </w:rPr>
            </w:pPr>
            <w:r>
              <w:rPr>
                <w:sz w:val="22"/>
                <w:szCs w:val="22"/>
              </w:rPr>
            </w:r>
          </w:p>
        </w:tc>
        <w:tc>
          <w:tcPr>
            <w:tcW w:w="174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sz w:val="20"/>
                <w:szCs w:val="20"/>
              </w:rPr>
            </w:pPr>
            <w:r>
              <w:rPr>
                <w:sz w:val="20"/>
                <w:szCs w:val="20"/>
              </w:rPr>
            </w:r>
          </w:p>
        </w:tc>
        <w:tc>
          <w:tcPr>
            <w:tcW w:w="159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sz w:val="20"/>
                <w:szCs w:val="20"/>
              </w:rPr>
            </w:pPr>
            <w:r>
              <w:rPr>
                <w:sz w:val="20"/>
                <w:szCs w:val="20"/>
              </w:rPr>
            </w:r>
          </w:p>
        </w:tc>
        <w:tc>
          <w:tcPr>
            <w:tcW w:w="1604"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sz w:val="20"/>
                <w:szCs w:val="20"/>
              </w:rPr>
            </w:pPr>
            <w:r>
              <w:rPr>
                <w:sz w:val="20"/>
                <w:szCs w:val="20"/>
              </w:rPr>
            </w:r>
          </w:p>
        </w:tc>
        <w:tc>
          <w:tcPr>
            <w:tcW w:w="1591"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sz w:val="20"/>
                <w:szCs w:val="20"/>
              </w:rPr>
            </w:pPr>
            <w:r>
              <w:rPr>
                <w:sz w:val="20"/>
                <w:szCs w:val="20"/>
              </w:rPr>
            </w:r>
          </w:p>
          <w:p>
            <w:pPr>
              <w:pStyle w:val="Normal"/>
              <w:rPr>
                <w:sz w:val="20"/>
                <w:szCs w:val="20"/>
              </w:rPr>
            </w:pPr>
            <w:r>
              <w:rPr>
                <w:sz w:val="20"/>
                <w:szCs w:val="20"/>
              </w:rPr>
            </w:r>
          </w:p>
        </w:tc>
      </w:tr>
      <w:tr>
        <w:trPr>
          <w:trHeight w:val="585"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Joves en risc d’exclusió social</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r>
      <w:tr>
        <w:trPr>
          <w:trHeight w:val="870"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amb discapacitat intel·lectual</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r>
      <w:tr>
        <w:trPr>
          <w:trHeight w:val="870"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amb diagnòstic de salut mental</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r>
      <w:tr>
        <w:trPr>
          <w:trHeight w:val="885"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amb discapacitat sensorial</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r>
      <w:tr>
        <w:trPr>
          <w:trHeight w:val="870"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amb discapacitat física</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r>
      <w:tr>
        <w:trPr>
          <w:trHeight w:val="600" w:hRule="atLeast"/>
        </w:trPr>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val="false"/>
              <w:rPr>
                <w:sz w:val="20"/>
                <w:szCs w:val="20"/>
              </w:rPr>
            </w:pPr>
            <w:r>
              <w:rPr>
                <w:sz w:val="20"/>
                <w:szCs w:val="20"/>
              </w:rPr>
              <w:t>Persones recluses</w:t>
            </w:r>
          </w:p>
        </w:tc>
        <w:tc>
          <w:tcPr>
            <w:tcW w:w="15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0"/>
                <w:szCs w:val="20"/>
              </w:rPr>
            </w:pPr>
            <w:r>
              <w:rPr>
                <w:sz w:val="20"/>
                <w:szCs w:val="20"/>
              </w:rPr>
            </w:r>
          </w:p>
        </w:tc>
        <w:tc>
          <w:tcPr>
            <w:tcW w:w="174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5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0" w:hanging="0"/>
              <w:rPr>
                <w:sz w:val="20"/>
                <w:szCs w:val="20"/>
                <w:highlight w:val="darkGreen"/>
              </w:rPr>
            </w:pPr>
            <w:r>
              <w:rPr>
                <w:sz w:val="20"/>
                <w:szCs w:val="20"/>
                <w:highlight w:val="darkGreen"/>
              </w:rPr>
            </w:r>
          </w:p>
        </w:tc>
        <w:tc>
          <w:tcPr>
            <w:tcW w:w="1604"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ind w:left="0" w:hanging="0"/>
              <w:rPr>
                <w:sz w:val="20"/>
                <w:szCs w:val="20"/>
                <w:highlight w:val="darkGreen"/>
              </w:rPr>
            </w:pPr>
            <w:r>
              <w:rPr>
                <w:sz w:val="20"/>
                <w:szCs w:val="20"/>
                <w:highlight w:val="darkGreen"/>
              </w:rPr>
            </w:r>
          </w:p>
        </w:tc>
        <w:tc>
          <w:tcPr>
            <w:tcW w:w="1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ind w:left="0" w:hanging="0"/>
              <w:rPr>
                <w:sz w:val="20"/>
                <w:szCs w:val="20"/>
                <w:highlight w:val="darkGreen"/>
              </w:rPr>
            </w:pPr>
            <w:r>
              <w:rPr>
                <w:sz w:val="20"/>
                <w:szCs w:val="20"/>
                <w:highlight w:val="darkGreen"/>
              </w:rPr>
            </w:r>
          </w:p>
        </w:tc>
      </w:tr>
    </w:tbl>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tbl>
      <w:tblPr>
        <w:tblStyle w:val="Table8"/>
        <w:tblpPr w:bottomFromText="180" w:horzAnchor="text" w:leftFromText="180" w:rightFromText="180" w:tblpX="-20" w:tblpY="0" w:topFromText="180" w:vertAnchor="text"/>
        <w:tblW w:w="967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8594"/>
        <w:gridCol w:w="540"/>
        <w:gridCol w:w="541"/>
      </w:tblGrid>
      <w:tr>
        <w:trPr>
          <w:trHeight w:val="495" w:hRule="atLeast"/>
        </w:trPr>
        <w:tc>
          <w:tcPr>
            <w:tcW w:w="85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20"/>
                <w:szCs w:val="20"/>
              </w:rPr>
            </w:pPr>
            <w:r>
              <w:rPr>
                <w:sz w:val="20"/>
                <w:szCs w:val="20"/>
              </w:rPr>
              <w:t xml:space="preserve">Indica si l’entitat disposa del personal suficient per cobrir les ràtios mínimes establertes a l’article 7 del Decret 36/2022, de 22 d’agost </w:t>
            </w:r>
          </w:p>
        </w:tc>
        <w:tc>
          <w:tcPr>
            <w:tcW w:w="54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jc w:val="center"/>
              <w:rPr>
                <w:b/>
                <w:b/>
                <w:sz w:val="20"/>
                <w:szCs w:val="20"/>
              </w:rPr>
            </w:pPr>
            <w:r>
              <w:rPr>
                <w:b/>
                <w:sz w:val="20"/>
                <w:szCs w:val="20"/>
              </w:rPr>
              <w:t>SI</w:t>
            </w:r>
          </w:p>
        </w:tc>
        <w:tc>
          <w:tcPr>
            <w:tcW w:w="5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jc w:val="center"/>
              <w:rPr>
                <w:b/>
                <w:b/>
                <w:sz w:val="22"/>
                <w:szCs w:val="22"/>
              </w:rPr>
            </w:pPr>
            <w:r>
              <w:rPr>
                <w:b/>
                <w:sz w:val="20"/>
                <w:szCs w:val="20"/>
              </w:rPr>
              <w:t>NO</w:t>
            </w:r>
          </w:p>
        </w:tc>
      </w:tr>
      <w:tr>
        <w:trPr/>
        <w:tc>
          <w:tcPr>
            <w:tcW w:w="859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16"/>
                <w:szCs w:val="16"/>
              </w:rPr>
            </w:pPr>
            <w:r>
              <w:rPr>
                <w:sz w:val="16"/>
                <w:szCs w:val="16"/>
              </w:rPr>
            </w:r>
          </w:p>
        </w:tc>
        <w:tc>
          <w:tcPr>
            <w:tcW w:w="54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16"/>
                <w:szCs w:val="16"/>
              </w:rPr>
            </w:pPr>
            <w:r>
              <w:rPr>
                <w:sz w:val="16"/>
                <w:szCs w:val="16"/>
              </w:rPr>
            </w:r>
          </w:p>
        </w:tc>
        <w:tc>
          <w:tcPr>
            <w:tcW w:w="5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16"/>
                <w:szCs w:val="16"/>
              </w:rPr>
            </w:pPr>
            <w:r>
              <w:rPr>
                <w:sz w:val="16"/>
                <w:szCs w:val="16"/>
              </w:rPr>
            </w:r>
          </w:p>
        </w:tc>
      </w:tr>
    </w:tbl>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i/>
          <w:sz w:val="16"/>
          <w:szCs w:val="16"/>
        </w:rPr>
      </w:r>
    </w:p>
    <w:tbl>
      <w:tblPr>
        <w:tblStyle w:val="Table9"/>
        <w:tblW w:w="9659" w:type="dxa"/>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7648"/>
        <w:gridCol w:w="2010"/>
      </w:tblGrid>
      <w:tr>
        <w:trPr>
          <w:tblHeader w:val="true"/>
          <w:trHeight w:val="269" w:hRule="atLeast"/>
        </w:trPr>
        <w:tc>
          <w:tcPr>
            <w:tcW w:w="965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rPr>
                <w:b/>
                <w:b/>
                <w:sz w:val="22"/>
                <w:szCs w:val="22"/>
              </w:rPr>
            </w:pPr>
            <w:r>
              <w:rPr>
                <w:b/>
                <w:sz w:val="22"/>
                <w:szCs w:val="22"/>
              </w:rPr>
              <w:t>5.  Condicions funcionals</w:t>
            </w:r>
          </w:p>
        </w:tc>
      </w:tr>
      <w:tr>
        <w:trPr>
          <w:tblHeader w:val="true"/>
          <w:trHeight w:val="300" w:hRule="atLeast"/>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6"/>
                <w:sz w:val="26"/>
                <w:szCs w:val="26"/>
                <w:u w:val="none"/>
                <w:vertAlign w:val="baseline"/>
              </w:rPr>
            </w:pPr>
            <w:r>
              <w:rPr>
                <w:rFonts w:eastAsia="Noto Sans" w:cs="Noto Sans"/>
                <w:b/>
                <w:i w:val="false"/>
                <w:caps w:val="false"/>
                <w:smallCaps w:val="false"/>
                <w:strike w:val="false"/>
                <w:dstrike w:val="false"/>
                <w:color w:val="000000"/>
                <w:position w:val="0"/>
                <w:sz w:val="26"/>
                <w:sz w:val="26"/>
                <w:szCs w:val="26"/>
                <w:u w:val="none"/>
                <w:shd w:fill="auto" w:val="clear"/>
                <w:vertAlign w:val="baseline"/>
              </w:rPr>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7B7B7"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Marcar amb una X les actuacions </w:t>
            </w:r>
            <w:r>
              <w:rPr>
                <w:sz w:val="18"/>
                <w:szCs w:val="18"/>
              </w:rPr>
              <w:t>que es presten</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en funció de la situació de cada persona</w:t>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Diagnòstic individualitzat i elaboració del perfil.</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Disseny de l’itinerari individual i personalitzat d’ocupació.</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Acompanyament personalitzat en el desenvolupament de l’itinerari i en el compliment del compromís d’activitat, així com altres funcions d’assessorament i de suport a la inserció laboral.</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Assessorament i ajuda tècnica addicional per definir el currículum i per aplicar tècniques per a la recerca activa d’ocupació.</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Informació i assessorament addicional sobre la situació del mercat de treball, polítiques actives d’ocupació i serveis comuns i complementaris de la cartera, i sobre l’oferta formativa i els programes de formació-ocupació.</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Suport a la gestió de la mobilitat laboral.</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r>
        <w:trPr>
          <w:tblHeader w:val="true"/>
        </w:trPr>
        <w:tc>
          <w:tcPr>
            <w:tcW w:w="76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shd w:fill="auto" w:val="clear"/>
                <w:vertAlign w:val="baseline"/>
              </w:rPr>
              <w:t>Totes les adaptacions que aquestes actuacions comportin.</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pBdr/>
              <w:shd w:val="clear" w:fill="auto"/>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tc>
      </w:tr>
    </w:tbl>
    <w:p>
      <w:pPr>
        <w:pStyle w:val="Normal"/>
        <w:keepNext w:val="false"/>
        <w:keepLines w:val="false"/>
        <w:pageBreakBefore w:val="false"/>
        <w:widowControl w:val="false"/>
        <w:pBdr/>
        <w:shd w:val="clear" w:fill="auto"/>
        <w:spacing w:lineRule="auto" w:line="240" w:before="0" w:after="0"/>
        <w:ind w:left="0" w:right="-562" w:hanging="0"/>
        <w:jc w:val="both"/>
        <w:rPr>
          <w:i/>
          <w:i/>
          <w:sz w:val="16"/>
          <w:szCs w:val="16"/>
        </w:rPr>
      </w:pPr>
      <w:r>
        <w:rPr>
          <w:rFonts w:eastAsia="Noto Sans" w:cs="Noto Sans"/>
          <w:b w:val="false"/>
          <w:i/>
          <w:caps w:val="false"/>
          <w:smallCaps w:val="false"/>
          <w:strike w:val="false"/>
          <w:dstrike w:val="false"/>
          <w:color w:val="000000"/>
          <w:position w:val="0"/>
          <w:sz w:val="16"/>
          <w:sz w:val="16"/>
          <w:szCs w:val="16"/>
          <w:u w:val="none"/>
          <w:shd w:fill="auto" w:val="clear"/>
          <w:vertAlign w:val="baseline"/>
        </w:rPr>
        <w:t>(Consultar l’article 5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w:t>
      </w:r>
    </w:p>
    <w:p>
      <w:pPr>
        <w:pStyle w:val="Normal"/>
        <w:ind w:right="-15" w:hanging="0"/>
        <w:rPr>
          <w:sz w:val="20"/>
          <w:szCs w:val="20"/>
        </w:rPr>
      </w:pPr>
      <w:r>
        <w:rPr>
          <w:sz w:val="20"/>
          <w:szCs w:val="20"/>
        </w:rPr>
      </w:r>
    </w:p>
    <w:tbl>
      <w:tblPr>
        <w:tblStyle w:val="Table10"/>
        <w:tblW w:w="964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600"/>
      </w:tblPr>
      <w:tblGrid>
        <w:gridCol w:w="8369"/>
        <w:gridCol w:w="1275"/>
      </w:tblGrid>
      <w:tr>
        <w:trPr>
          <w:trHeight w:val="299" w:hRule="atLeast"/>
        </w:trPr>
        <w:tc>
          <w:tcPr>
            <w:tcW w:w="9644"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b/>
                <w:b/>
                <w:sz w:val="22"/>
                <w:szCs w:val="22"/>
              </w:rPr>
            </w:pPr>
            <w:r>
              <w:rPr>
                <w:b/>
                <w:sz w:val="22"/>
                <w:szCs w:val="22"/>
              </w:rPr>
              <w:t>6. Assegurança</w:t>
            </w:r>
          </w:p>
        </w:tc>
      </w:tr>
      <w:tr>
        <w:trPr>
          <w:trHeight w:val="407" w:hRule="atLeast"/>
        </w:trPr>
        <w:tc>
          <w:tcPr>
            <w:tcW w:w="9644"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B7B7B7" w:val="clear"/>
            <w:vAlign w:val="center"/>
          </w:tcPr>
          <w:p>
            <w:pPr>
              <w:pStyle w:val="Normal"/>
              <w:widowControl w:val="false"/>
              <w:rPr>
                <w:sz w:val="20"/>
                <w:szCs w:val="20"/>
              </w:rPr>
            </w:pPr>
            <w:r>
              <w:rPr>
                <w:sz w:val="20"/>
                <w:szCs w:val="20"/>
              </w:rPr>
              <w:t>Marcar amb una X si s’han renovat les pòlisses d’assegurança següents:</w:t>
            </w:r>
          </w:p>
        </w:tc>
      </w:tr>
      <w:tr>
        <w:trPr>
          <w:trHeight w:val="694" w:hRule="atLeast"/>
        </w:trPr>
        <w:tc>
          <w:tcPr>
            <w:tcW w:w="83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20"/>
                <w:szCs w:val="20"/>
              </w:rPr>
            </w:pPr>
            <w:r>
              <w:rPr>
                <w:sz w:val="20"/>
                <w:szCs w:val="20"/>
              </w:rPr>
              <w:t>Pòlissa d’assegurança que cobreix la responsabilitat civil i els accidents del personal i els usuaris.</w:t>
            </w:r>
          </w:p>
        </w:tc>
        <w:tc>
          <w:tcPr>
            <w:tcW w:w="12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20"/>
                <w:szCs w:val="20"/>
              </w:rPr>
            </w:pPr>
            <w:r>
              <w:rPr>
                <w:sz w:val="20"/>
                <w:szCs w:val="20"/>
              </w:rPr>
            </w:r>
          </w:p>
        </w:tc>
      </w:tr>
      <w:tr>
        <w:trPr/>
        <w:tc>
          <w:tcPr>
            <w:tcW w:w="83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20"/>
                <w:szCs w:val="20"/>
              </w:rPr>
            </w:pPr>
            <w:r>
              <w:rPr>
                <w:sz w:val="20"/>
                <w:szCs w:val="20"/>
              </w:rPr>
              <w:t>Pòlissa d’assegurança de danys de l’immoble.</w:t>
            </w:r>
          </w:p>
        </w:tc>
        <w:tc>
          <w:tcPr>
            <w:tcW w:w="12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rPr>
                <w:sz w:val="20"/>
                <w:szCs w:val="20"/>
              </w:rPr>
            </w:pPr>
            <w:r>
              <w:rPr>
                <w:sz w:val="20"/>
                <w:szCs w:val="20"/>
              </w:rPr>
            </w:r>
          </w:p>
        </w:tc>
      </w:tr>
    </w:tbl>
    <w:p>
      <w:pPr>
        <w:pStyle w:val="Normal"/>
        <w:widowControl w:val="false"/>
        <w:ind w:right="-562" w:hanging="0"/>
        <w:jc w:val="both"/>
        <w:rPr>
          <w:i/>
          <w:i/>
          <w:sz w:val="16"/>
          <w:szCs w:val="16"/>
        </w:rPr>
      </w:pPr>
      <w:r>
        <w:rPr>
          <w:i/>
          <w:sz w:val="16"/>
          <w:szCs w:val="16"/>
        </w:rPr>
        <w:t>(Consultar l’article 10 del Decret 35/2022, de 22 d’agost, pel qual es crea i regula el Registre d’entitats i els serveis d’orientació professional i els serveis complementaris, i els procediments d’acreditació de serveis i habilitació d’entitats)</w:t>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widowControl w:val="false"/>
        <w:ind w:right="-562" w:hanging="0"/>
        <w:jc w:val="both"/>
        <w:rPr>
          <w:i/>
          <w:i/>
          <w:sz w:val="16"/>
          <w:szCs w:val="16"/>
        </w:rPr>
      </w:pPr>
      <w:r>
        <w:rPr>
          <w:i/>
          <w:sz w:val="16"/>
          <w:szCs w:val="16"/>
        </w:rPr>
      </w:r>
    </w:p>
    <w:p>
      <w:pPr>
        <w:pStyle w:val="Normal"/>
        <w:ind w:right="-15" w:hanging="0"/>
        <w:rPr>
          <w:sz w:val="20"/>
          <w:szCs w:val="20"/>
        </w:rPr>
      </w:pPr>
      <w:r>
        <w:rPr>
          <w:sz w:val="20"/>
          <w:szCs w:val="20"/>
        </w:rPr>
      </w:r>
    </w:p>
    <w:tbl>
      <w:tblPr>
        <w:tblStyle w:val="Table11"/>
        <w:tblW w:w="9630" w:type="dxa"/>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9630"/>
      </w:tblGrid>
      <w:tr>
        <w:trPr/>
        <w:tc>
          <w:tcPr>
            <w:tcW w:w="96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b/>
                <w:sz w:val="22"/>
                <w:szCs w:val="22"/>
              </w:rPr>
              <w:t>7. Valoració general del servei d’orientació</w:t>
            </w:r>
          </w:p>
        </w:tc>
      </w:tr>
      <w:tr>
        <w:trPr/>
        <w:tc>
          <w:tcPr>
            <w:tcW w:w="96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sz w:val="20"/>
                <w:szCs w:val="20"/>
              </w:rPr>
              <w:t xml:space="preserve">(Explicació qualitativa de la implantació del servei d’orientació relacionades amb els procediments vinculats al </w:t>
            </w:r>
            <w:r>
              <w:rPr>
                <w:b/>
                <w:sz w:val="20"/>
                <w:szCs w:val="20"/>
              </w:rPr>
              <w:t xml:space="preserve">Registre d’Entitats i els serveis d’Orientació professional i els serveis complementaris </w:t>
            </w:r>
            <w:r>
              <w:rPr>
                <w:sz w:val="22"/>
                <w:szCs w:val="22"/>
              </w:rPr>
              <w:t>(</w:t>
            </w:r>
            <w:r>
              <w:rPr>
                <w:sz w:val="20"/>
                <w:szCs w:val="20"/>
              </w:rPr>
              <w:t>propostes de millora, etc…)</w:t>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p>
            <w:pPr>
              <w:pStyle w:val="Normal"/>
              <w:rPr>
                <w:sz w:val="20"/>
                <w:szCs w:val="20"/>
              </w:rPr>
            </w:pPr>
            <w:r>
              <w:rPr>
                <w:sz w:val="20"/>
                <w:szCs w:val="20"/>
              </w:rPr>
            </w:r>
          </w:p>
        </w:tc>
      </w:tr>
    </w:tbl>
    <w:p>
      <w:pPr>
        <w:pStyle w:val="Normal"/>
        <w:ind w:right="-15" w:hanging="0"/>
        <w:rPr>
          <w:i/>
          <w:i/>
          <w:sz w:val="16"/>
          <w:szCs w:val="16"/>
        </w:rPr>
      </w:pPr>
      <w:r>
        <w:rPr>
          <w:i/>
          <w:sz w:val="16"/>
          <w:szCs w:val="16"/>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p>
      <w:pPr>
        <w:pStyle w:val="Normal"/>
        <w:keepNext w:val="false"/>
        <w:keepLines w:val="false"/>
        <w:pageBreakBefore w:val="false"/>
        <w:widowControl w:val="false"/>
        <w:pBdr/>
        <w:shd w:val="clear" w:fill="auto"/>
        <w:spacing w:lineRule="auto" w:line="288" w:before="0" w:after="0"/>
        <w:ind w:left="0" w:right="0" w:hanging="0"/>
        <w:jc w:val="both"/>
        <w:rPr>
          <w:rFonts w:ascii="Noto Sans" w:hAnsi="Noto Sans" w:eastAsia="Noto Sans" w:cs="Noto Sans"/>
          <w:b/>
          <w:b/>
          <w:i w:val="false"/>
          <w:i w:val="false"/>
          <w:caps w:val="false"/>
          <w:smallCaps w:val="false"/>
          <w:strike w:val="false"/>
          <w:dstrike w:val="fals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shd w:fill="auto" w:val="clear"/>
          <w:vertAlign w:val="baseline"/>
        </w:rPr>
        <w:t>INFORMACIÓ SOBRE PROTECCIÓ DE DADES DE CARÀCTER PERSONAL (per a persones físiques)</w:t>
      </w:r>
    </w:p>
    <w:p>
      <w:pPr>
        <w:pStyle w:val="Normal"/>
        <w:keepNext w:val="false"/>
        <w:keepLines w:val="false"/>
        <w:pageBreakBefore w:val="false"/>
        <w:widowControl w:val="false"/>
        <w:pBdr/>
        <w:shd w:val="clear" w:fill="auto"/>
        <w:spacing w:lineRule="auto" w:line="288" w:before="0" w:after="0"/>
        <w:ind w:left="0" w:right="0" w:hanging="0"/>
        <w:jc w:val="both"/>
        <w:rPr>
          <w:b/>
          <w:b/>
          <w:sz w:val="22"/>
          <w:szCs w:val="22"/>
        </w:rPr>
      </w:pPr>
      <w:r>
        <w:rPr>
          <w:b/>
          <w:sz w:val="22"/>
          <w:szCs w:val="22"/>
        </w:rPr>
      </w:r>
    </w:p>
    <w:tbl>
      <w:tblPr>
        <w:tblStyle w:val="Table12"/>
        <w:tblW w:w="9630" w:type="dxa"/>
        <w:jc w:val="left"/>
        <w:tblInd w:w="-4"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9630"/>
      </w:tblGrid>
      <w:tr>
        <w:trPr>
          <w:trHeight w:val="330" w:hRule="atLeast"/>
        </w:trPr>
        <w:tc>
          <w:tcPr>
            <w:tcW w:w="963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De conformitat amb el Reglament (UE) 2016/679 (RGPD) i amb la legislació vigent en matèria de protecció de dades, s'informa del tractament de les dades personals que conté aquesta sol·licitud.</w:t>
            </w:r>
          </w:p>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963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 xml:space="preserve">Finalitat del tractament i base jurídica: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Decret 35/2022, de 22 d’agost de 2022, pel qual es crea i regula el Registre d’entitats i els serveis d’orientació professional i els serveis complementaris, i els procediments d’acreditació de serveis i habilitació d’entitats i el Decret 36/2022, de 22 d’agost de 2022,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963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Responsable del tractament:</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Servei d’Ocupació de les Illes Balears, amb domicili al carrer Gremi d’Hortolans, 11, 1</w:t>
            </w:r>
            <w:r>
              <w:rPr>
                <w:sz w:val="18"/>
                <w:szCs w:val="18"/>
              </w:rPr>
              <w:t xml:space="preserve">a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planta (Polígon de Son Rossinyol), 07009, Palma.</w:t>
            </w:r>
          </w:p>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963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 xml:space="preserve">Destinataris de les dades personals: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no se cediran les dades personals a tercers, tret que hi hagi obligació legal o interès legítim d’acord amb el RGPD.  </w:t>
            </w:r>
          </w:p>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r>
        <w:trPr/>
        <w:tc>
          <w:tcPr>
            <w:tcW w:w="963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18"/>
                <w:szCs w:val="18"/>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Termini de conservació de les dades personals</w:t>
            </w:r>
            <w:r>
              <w:rPr>
                <w:rFonts w:eastAsia="Noto Sans" w:cs="Noto Sans"/>
                <w:b/>
                <w:i/>
                <w:caps w:val="false"/>
                <w:smallCaps w:val="false"/>
                <w:strike w:val="false"/>
                <w:dstrike w:val="false"/>
                <w:color w:val="000000"/>
                <w:position w:val="0"/>
                <w:sz w:val="18"/>
                <w:sz w:val="18"/>
                <w:szCs w:val="18"/>
                <w:u w:val="none"/>
                <w:shd w:fill="auto" w:val="clear"/>
                <w:vertAlign w:val="baseline"/>
              </w:rPr>
              <w:t>:</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aquestes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tc>
      </w:tr>
      <w:tr>
        <w:trPr/>
        <w:tc>
          <w:tcPr>
            <w:tcW w:w="963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4"/>
                <w:sz w:val="22"/>
                <w:szCs w:val="22"/>
                <w:u w:val="none"/>
                <w:vertAlign w:val="baseline"/>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 xml:space="preserve">Exercici de drets i reclamacions: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keepNext w:val="false"/>
              <w:keepLines w:val="false"/>
              <w:widowControl w:val="false"/>
              <w:pBdr/>
              <w:shd w:val="clear" w:fill="auto"/>
              <w:spacing w:lineRule="auto" w:line="288" w:before="0" w:after="0"/>
              <w:ind w:left="0" w:right="0" w:hanging="0"/>
              <w:jc w:val="both"/>
              <w:rPr>
                <w:rFonts w:ascii="Noto Sans" w:hAnsi="Noto Sans" w:eastAsia="Noto Sans" w:cs="Noto Sans"/>
                <w:b/>
                <w:b/>
                <w:i/>
                <w:i/>
                <w:caps w:val="false"/>
                <w:smallCaps w:val="false"/>
                <w:strike w:val="false"/>
                <w:dstrike w:val="false"/>
                <w:color w:val="000000"/>
                <w:position w:val="0"/>
                <w:sz w:val="18"/>
                <w:sz w:val="18"/>
                <w:szCs w:val="18"/>
                <w:u w:val="none"/>
                <w:vertAlign w:val="baseline"/>
              </w:rPr>
            </w:pPr>
            <w:r>
              <w:rPr>
                <w:rFonts w:eastAsia="Noto Sans" w:cs="Noto Sans"/>
                <w:b/>
                <w:i/>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18191C"/>
                <w:position w:val="0"/>
                <w:sz w:val="24"/>
                <w:sz w:val="18"/>
                <w:szCs w:val="18"/>
                <w:u w:val="none"/>
                <w:vertAlign w:val="baseline"/>
              </w:rPr>
            </w:pPr>
            <w:r>
              <w:rPr>
                <w:rFonts w:eastAsia="Noto Sans" w:cs="Noto Sans"/>
                <w:b w:val="false"/>
                <w:i w:val="false"/>
                <w:caps w:val="false"/>
                <w:smallCaps w:val="false"/>
                <w:strike w:val="false"/>
                <w:dstrike w:val="false"/>
                <w:color w:val="18191C"/>
                <w:position w:val="0"/>
                <w:sz w:val="18"/>
                <w:sz w:val="18"/>
                <w:szCs w:val="18"/>
                <w:u w:val="none"/>
                <w:shd w:fill="auto" w:val="clear"/>
                <w:vertAlign w:val="baseline"/>
              </w:rPr>
              <w:t>Amb posterioritat a la resposta del responsable o al fet que no hi hagi resposta en el termini d’un mes, pot presentar la «Reclamació de tutela de drets» davant l’Agència Espanyola de Protecció de Dades (AEPD).</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18191C"/>
                <w:position w:val="0"/>
                <w:sz w:val="18"/>
                <w:sz w:val="18"/>
                <w:szCs w:val="18"/>
                <w:u w:val="none"/>
                <w:vertAlign w:val="baseline"/>
              </w:rPr>
            </w:pPr>
            <w:r>
              <w:rPr>
                <w:rFonts w:eastAsia="Noto Sans" w:cs="Noto Sans"/>
                <w:b w:val="false"/>
                <w:i w:val="false"/>
                <w:caps w:val="false"/>
                <w:smallCaps w:val="false"/>
                <w:strike w:val="false"/>
                <w:dstrike w:val="false"/>
                <w:color w:val="18191C"/>
                <w:position w:val="0"/>
                <w:sz w:val="18"/>
                <w:sz w:val="18"/>
                <w:szCs w:val="18"/>
                <w:u w:val="none"/>
                <w:shd w:fill="auto" w:val="clear"/>
                <w:vertAlign w:val="baseline"/>
              </w:rPr>
            </w:r>
          </w:p>
        </w:tc>
      </w:tr>
      <w:tr>
        <w:trPr/>
        <w:tc>
          <w:tcPr>
            <w:tcW w:w="963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pBdr/>
              <w:shd w:val="clear" w:fill="auto"/>
              <w:spacing w:lineRule="auto" w:line="288" w:before="0" w:after="0"/>
              <w:ind w:left="0" w:right="0" w:hanging="0"/>
              <w:jc w:val="left"/>
              <w:rPr/>
            </w:pPr>
            <w:r>
              <w:rPr>
                <w:rFonts w:eastAsia="Noto Sans" w:cs="Noto Sans"/>
                <w:b/>
                <w:i w:val="false"/>
                <w:caps w:val="false"/>
                <w:smallCaps w:val="false"/>
                <w:strike w:val="false"/>
                <w:dstrike w:val="false"/>
                <w:color w:val="000000"/>
                <w:position w:val="0"/>
                <w:sz w:val="18"/>
                <w:sz w:val="18"/>
                <w:szCs w:val="18"/>
                <w:u w:val="none"/>
                <w:shd w:fill="auto" w:val="clear"/>
                <w:vertAlign w:val="baseline"/>
              </w:rPr>
              <w:t>Delegació de Protecció de Dades:</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la Delegació de Protecció de Dades de l'Administració de la CAIB té la seu a les Oficines Centrals (Carrer Gremi d’Hortolans, 11, Planta 2</w:t>
            </w:r>
            <w:r>
              <w:rPr>
                <w:rFonts w:eastAsia="Noto Sans" w:cs="Noto Sans"/>
                <w:b w:val="false"/>
                <w:i w:val="false"/>
                <w:caps w:val="false"/>
                <w:smallCaps w:val="false"/>
                <w:strike w:val="false"/>
                <w:dstrike w:val="false"/>
                <w:color w:val="000000"/>
                <w:sz w:val="18"/>
                <w:szCs w:val="18"/>
                <w:u w:val="none"/>
                <w:shd w:fill="auto" w:val="clear"/>
                <w:vertAlign w:val="superscript"/>
              </w:rPr>
              <w:t>a</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07009, Palma). Adreça electrònica de contacte: </w:t>
            </w:r>
            <w:hyperlink r:id="rId2">
              <w:r>
                <w:rPr>
                  <w:rStyle w:val="ListLabel4"/>
                  <w:rFonts w:eastAsia="Noto Sans" w:cs="Noto Sans"/>
                  <w:b w:val="false"/>
                  <w:i w:val="false"/>
                  <w:caps w:val="false"/>
                  <w:smallCaps w:val="false"/>
                  <w:strike w:val="false"/>
                  <w:dstrike w:val="false"/>
                  <w:color w:val="000000"/>
                  <w:position w:val="0"/>
                  <w:sz w:val="18"/>
                  <w:sz w:val="18"/>
                  <w:szCs w:val="18"/>
                  <w:u w:val="single"/>
                  <w:shd w:fill="auto" w:val="clear"/>
                  <w:vertAlign w:val="baseline"/>
                </w:rPr>
                <w:t>proteccio</w:t>
              </w:r>
            </w:hyperlink>
            <w:r>
              <w:rPr>
                <w:rFonts w:eastAsia="Noto Sans" w:cs="Noto Sans"/>
                <w:b w:val="false"/>
                <w:i w:val="false"/>
                <w:caps w:val="false"/>
                <w:smallCaps w:val="false"/>
                <w:strike w:val="false"/>
                <w:dstrike w:val="false"/>
                <w:color w:val="000000"/>
                <w:position w:val="0"/>
                <w:sz w:val="18"/>
                <w:sz w:val="18"/>
                <w:szCs w:val="18"/>
                <w:u w:val="single"/>
                <w:shd w:fill="auto" w:val="clear"/>
                <w:vertAlign w:val="baseline"/>
              </w:rPr>
              <w:t>dedades@soib.caib.es.</w:t>
            </w:r>
          </w:p>
          <w:p>
            <w:pPr>
              <w:pStyle w:val="Normal"/>
              <w:keepNext w:val="false"/>
              <w:keepLines w:val="false"/>
              <w:widowControl w:val="false"/>
              <w:pBdr/>
              <w:shd w:val="clear" w:fill="auto"/>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single"/>
                <w:vertAlign w:val="baseline"/>
              </w:rPr>
            </w:pPr>
            <w:r>
              <w:rPr>
                <w:rFonts w:eastAsia="Noto Sans" w:cs="Noto Sans"/>
                <w:b w:val="false"/>
                <w:i w:val="false"/>
                <w:caps w:val="false"/>
                <w:smallCaps w:val="false"/>
                <w:strike w:val="false"/>
                <w:dstrike w:val="false"/>
                <w:color w:val="000000"/>
                <w:position w:val="0"/>
                <w:sz w:val="18"/>
                <w:sz w:val="18"/>
                <w:szCs w:val="18"/>
                <w:u w:val="single"/>
                <w:shd w:fill="auto" w:val="clear"/>
                <w:vertAlign w:val="baseline"/>
              </w:rPr>
            </w:r>
          </w:p>
        </w:tc>
      </w:tr>
    </w:tbl>
    <w:p>
      <w:pPr>
        <w:pStyle w:val="Normal"/>
        <w:keepNext w:val="false"/>
        <w:keepLines w:val="false"/>
        <w:pageBreakBefore w:val="false"/>
        <w:widowControl w:val="false"/>
        <w:pBdr/>
        <w:shd w:val="clear" w:fill="auto"/>
        <w:spacing w:lineRule="auto" w:line="240" w:before="0" w:after="0"/>
        <w:ind w:left="0" w:right="0" w:hanging="0"/>
        <w:jc w:val="left"/>
        <w:rPr>
          <w:color w:val="A6A6A6"/>
          <w:sz w:val="18"/>
          <w:szCs w:val="18"/>
        </w:rPr>
      </w:pPr>
      <w:r>
        <w:rPr>
          <w:color w:val="A6A6A6"/>
          <w:sz w:val="18"/>
          <w:szCs w:val="18"/>
        </w:rPr>
      </w:r>
    </w:p>
    <w:p>
      <w:pPr>
        <w:pStyle w:val="Normal"/>
        <w:keepNext w:val="false"/>
        <w:keepLines w:val="false"/>
        <w:pageBreakBefore w:val="false"/>
        <w:widowControl w:val="false"/>
        <w:pBdr/>
        <w:shd w:val="clear" w:fill="auto"/>
        <w:spacing w:lineRule="auto" w:line="240" w:before="0" w:after="0"/>
        <w:ind w:left="0" w:right="0" w:hanging="0"/>
        <w:jc w:val="left"/>
        <w:rPr>
          <w:color w:val="A6A6A6"/>
          <w:sz w:val="18"/>
          <w:szCs w:val="18"/>
        </w:rPr>
      </w:pPr>
      <w:r>
        <w:rPr>
          <w:color w:val="A6A6A6"/>
          <w:sz w:val="18"/>
          <w:szCs w:val="18"/>
        </w:rPr>
      </w:r>
    </w:p>
    <w:p>
      <w:pPr>
        <w:pStyle w:val="Normal"/>
        <w:keepNext w:val="false"/>
        <w:keepLines w:val="false"/>
        <w:pageBreakBefore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He llegit la informació sobre protecció de dades, l’accept i don el meu consentiment per al tractament de les dades de caràcter personal aportades amb la sol·licitud.</w:t>
      </w:r>
    </w:p>
    <w:p>
      <w:pPr>
        <w:pStyle w:val="Normal"/>
        <w:keepNext w:val="false"/>
        <w:keepLines w:val="false"/>
        <w:pageBreakBefore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pageBreakBefore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bl>
      <w:tblPr>
        <w:tblStyle w:val="Table13"/>
        <w:tblW w:w="9600" w:type="dxa"/>
        <w:jc w:val="left"/>
        <w:tblInd w:w="30" w:type="dxa"/>
        <w:tblBorders>
          <w:top w:val="single" w:sz="12" w:space="0" w:color="000000"/>
          <w:left w:val="single" w:sz="12" w:space="0" w:color="000000"/>
          <w:bottom w:val="single" w:sz="6" w:space="0" w:color="000000"/>
          <w:right w:val="single" w:sz="12" w:space="0" w:color="000000"/>
          <w:insideH w:val="single" w:sz="6" w:space="0" w:color="000000"/>
          <w:insideV w:val="single" w:sz="12" w:space="0" w:color="000000"/>
        </w:tblBorders>
        <w:tblCellMar>
          <w:top w:w="0" w:type="dxa"/>
          <w:left w:w="108" w:type="dxa"/>
          <w:bottom w:w="0" w:type="dxa"/>
          <w:right w:w="108" w:type="dxa"/>
        </w:tblCellMar>
        <w:tblLook w:val="0600"/>
      </w:tblPr>
      <w:tblGrid>
        <w:gridCol w:w="9600"/>
      </w:tblGrid>
      <w:tr>
        <w:trPr>
          <w:trHeight w:val="3570" w:hRule="atLeast"/>
        </w:trPr>
        <w:tc>
          <w:tcPr>
            <w:tcW w:w="9600" w:type="dxa"/>
            <w:tcBorders>
              <w:top w:val="single" w:sz="12" w:space="0" w:color="000000"/>
              <w:left w:val="single" w:sz="12" w:space="0" w:color="000000"/>
              <w:bottom w:val="single" w:sz="6" w:space="0" w:color="000000"/>
              <w:right w:val="single" w:sz="12" w:space="0" w:color="000000"/>
              <w:insideH w:val="single" w:sz="6" w:space="0" w:color="000000"/>
              <w:insideV w:val="single" w:sz="12" w:space="0" w:color="000000"/>
            </w:tcBorders>
            <w:shd w:fill="auto" w:val="clear"/>
          </w:tcPr>
          <w:p>
            <w:pPr>
              <w:pStyle w:val="Normal"/>
              <w:keepNext w:val="false"/>
              <w:keepLines w:val="false"/>
              <w:widowControl w:val="false"/>
              <w:pBdr/>
              <w:shd w:val="clear" w:fill="auto"/>
              <w:spacing w:lineRule="auto" w:line="240" w:before="24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0"/>
                <w:sz w:val="20"/>
                <w:szCs w:val="20"/>
                <w:u w:val="none"/>
                <w:shd w:fill="auto" w:val="clear"/>
                <w:vertAlign w:val="baseline"/>
              </w:rPr>
              <w:t>[Data]</w:t>
            </w:r>
          </w:p>
          <w:p>
            <w:pPr>
              <w:pStyle w:val="Normal"/>
              <w:keepNext w:val="false"/>
              <w:keepLines w:val="false"/>
              <w:widowControl w:val="false"/>
              <w:pBdr/>
              <w:shd w:val="clear" w:fill="auto"/>
              <w:spacing w:lineRule="auto" w:line="240" w:before="24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0"/>
                <w:sz w:val="20"/>
                <w:szCs w:val="20"/>
                <w:u w:val="none"/>
                <w:shd w:fill="auto" w:val="clear"/>
                <w:vertAlign w:val="baseline"/>
              </w:rPr>
              <w:t>[Nom i llinatges de la persona representant legal de l’entitat]</w:t>
            </w:r>
          </w:p>
          <w:p>
            <w:pPr>
              <w:pStyle w:val="Normal"/>
              <w:keepNext w:val="false"/>
              <w:keepLines w:val="false"/>
              <w:widowControl w:val="false"/>
              <w:pBdr/>
              <w:shd w:val="clear" w:fill="auto"/>
              <w:spacing w:lineRule="auto" w:line="240" w:before="24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i w:val="false"/>
                <w:caps w:val="false"/>
                <w:smallCaps w:val="false"/>
                <w:strike w:val="false"/>
                <w:dstrike w:val="false"/>
                <w:color w:val="000000"/>
                <w:position w:val="0"/>
                <w:sz w:val="20"/>
                <w:sz w:val="20"/>
                <w:szCs w:val="20"/>
                <w:u w:val="none"/>
                <w:shd w:fill="auto" w:val="clear"/>
                <w:vertAlign w:val="baseline"/>
              </w:rPr>
              <w:br/>
              <w:t>[Signatura i segell de l’entitat]</w:t>
            </w:r>
          </w:p>
        </w:tc>
      </w:tr>
    </w:tbl>
    <w:p>
      <w:pPr>
        <w:pStyle w:val="Normal"/>
        <w:keepNext w:val="false"/>
        <w:keepLines w:val="false"/>
        <w:pageBreakBefore w:val="false"/>
        <w:widowControl w:val="false"/>
        <w:pBdr/>
        <w:shd w:val="clear" w:fill="auto"/>
        <w:spacing w:lineRule="auto" w:line="240" w:before="0" w:after="0"/>
        <w:ind w:left="0" w:right="-15" w:hanging="0"/>
        <w:jc w:val="left"/>
        <w:rPr/>
      </w:pPr>
      <w:r>
        <w:rPr/>
      </w:r>
    </w:p>
    <w:sectPr>
      <w:headerReference w:type="default" r:id="rId3"/>
      <w:footerReference w:type="default" r:id="rId4"/>
      <w:type w:val="nextPage"/>
      <w:pgSz w:w="11906" w:h="16838"/>
      <w:pgMar w:left="1701" w:right="1134" w:header="0" w:top="2041" w:footer="709" w:bottom="2807" w:gutter="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Liberation Sans">
    <w:altName w:val="Arial"/>
    <w:charset w:val="00"/>
    <w:family w:val="roman"/>
    <w:pitch w:val="variable"/>
  </w:font>
  <w:font w:name="Georgi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pageBreakBefore w:val="false"/>
      <w:widowControl w:val="false"/>
      <w:pBdr/>
      <w:shd w:val="clear" w:fill="auto"/>
      <w:spacing w:lineRule="auto" w:line="240" w:before="0" w:after="0"/>
      <w:ind w:left="-709"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15"/>
        <w:sz w:val="15"/>
        <w:szCs w:val="15"/>
        <w:u w:val="none"/>
        <w:shd w:fill="auto" w:val="clear"/>
        <w:vertAlign w:val="baseline"/>
      </w:rPr>
      <w:tab/>
      <w:t>Carrer Gremi d’Hortolans, 11, 1r pis</w:t>
    </w:r>
  </w:p>
  <w:p>
    <w:pPr>
      <w:pStyle w:val="Normal"/>
      <w:keepNext w:val="false"/>
      <w:keepLines w:val="false"/>
      <w:pageBreakBefore w:val="false"/>
      <w:widowControl w:val="false"/>
      <w:pBdr/>
      <w:shd w:val="clear" w:fill="auto"/>
      <w:tabs>
        <w:tab w:val="clear" w:pos="720"/>
        <w:tab w:val="center" w:pos="4819" w:leader="none"/>
        <w:tab w:val="right" w:pos="9638" w:leader="none"/>
      </w:tabs>
      <w:spacing w:lineRule="auto" w:line="240" w:before="0" w:after="0"/>
      <w:ind w:left="0" w:right="567"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15"/>
        <w:sz w:val="15"/>
        <w:szCs w:val="15"/>
        <w:u w:val="none"/>
        <w:shd w:fill="auto" w:val="clear"/>
        <w:vertAlign w:val="baseline"/>
      </w:rPr>
      <w:t>07010 Palma</w:t>
    </w:r>
  </w:p>
  <w:p>
    <w:pPr>
      <w:pStyle w:val="Normal"/>
      <w:keepNext w:val="false"/>
      <w:keepLines w:val="false"/>
      <w:pageBreakBefore w:val="false"/>
      <w:widowControl w:val="false"/>
      <w:pBdr/>
      <w:shd w:val="clear" w:fill="auto"/>
      <w:tabs>
        <w:tab w:val="clear" w:pos="720"/>
        <w:tab w:val="center" w:pos="4819" w:leader="none"/>
        <w:tab w:val="right" w:pos="9638" w:leader="none"/>
      </w:tabs>
      <w:spacing w:lineRule="auto" w:line="240" w:before="0" w:after="0"/>
      <w:ind w:left="0" w:right="567"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15"/>
        <w:sz w:val="15"/>
        <w:szCs w:val="15"/>
        <w:u w:val="none"/>
        <w:shd w:fill="auto" w:val="clear"/>
        <w:vertAlign w:val="baseline"/>
      </w:rPr>
      <w:t>Tel. 971 17 79 00</w:t>
    </w:r>
  </w:p>
  <w:p>
    <w:pPr>
      <w:pStyle w:val="Normal"/>
      <w:keepNext w:val="false"/>
      <w:keepLines w:val="false"/>
      <w:pageBreakBefore w:val="false"/>
      <w:widowControl w:val="false"/>
      <w:pBdr/>
      <w:shd w:val="clear" w:fill="auto"/>
      <w:tabs>
        <w:tab w:val="clear" w:pos="720"/>
        <w:tab w:val="center" w:pos="4819" w:leader="none"/>
        <w:tab w:val="right" w:pos="9638" w:leader="none"/>
      </w:tabs>
      <w:spacing w:lineRule="auto" w:line="240" w:before="0" w:after="0"/>
      <w:ind w:left="0" w:right="-510" w:hanging="0"/>
      <w:jc w:val="left"/>
      <w:rPr/>
    </w:pPr>
    <w:hyperlink r:id="rId1">
      <w:r>
        <w:rPr>
          <w:rStyle w:val="ListLabel5"/>
          <w:rFonts w:eastAsia="Noto Sans" w:cs="Noto Sans"/>
          <w:b w:val="false"/>
          <w:i w:val="false"/>
          <w:caps w:val="false"/>
          <w:smallCaps w:val="false"/>
          <w:strike w:val="false"/>
          <w:dstrike w:val="false"/>
          <w:color w:val="0000FF"/>
          <w:position w:val="0"/>
          <w:sz w:val="15"/>
          <w:sz w:val="15"/>
          <w:szCs w:val="15"/>
          <w:u w:val="none"/>
          <w:shd w:fill="auto" w:val="clear"/>
          <w:vertAlign w:val="baseline"/>
        </w:rPr>
        <w:t>http://soib.es</w:t>
      </w:r>
    </w:hyperlink>
    <w:r>
      <w:rPr>
        <w:rFonts w:eastAsia="Noto Sans" w:cs="Noto Sans"/>
        <w:b w:val="false"/>
        <w:i w:val="false"/>
        <w:caps w:val="false"/>
        <w:smallCaps w:val="false"/>
        <w:strike w:val="false"/>
        <w:dstrike w:val="false"/>
        <w:color w:val="C30045"/>
        <w:position w:val="0"/>
        <w:sz w:val="15"/>
        <w:sz w:val="15"/>
        <w:szCs w:val="15"/>
        <w:u w:val="none"/>
        <w:shd w:fill="auto" w:val="clear"/>
        <w:vertAlign w:val="baseline"/>
      </w:rPr>
      <w:t xml:space="preserve">                                                                                                                                                                                             </w:t>
    </w:r>
    <w:r>
      <w:rPr/>
      <w:fldChar w:fldCharType="begin"/>
    </w:r>
    <w:r>
      <w:rPr/>
      <w:instrText> PAGE </w:instrText>
    </w:r>
    <w:r>
      <w:rPr/>
      <w:fldChar w:fldCharType="separate"/>
    </w:r>
    <w:r>
      <w:rPr/>
      <w:t>7</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pageBreakBefore w:val="false"/>
      <w:widowControl/>
      <w:pBdr/>
      <w:shd w:val="clear" w:fill="auto"/>
      <w:tabs>
        <w:tab w:val="clear" w:pos="720"/>
        <w:tab w:val="center" w:pos="4819" w:leader="none"/>
        <w:tab w:val="right" w:pos="9638"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bookmarkStart w:id="0" w:name="docs-internal-guid-332bfcb1-7fff-928f-95"/>
    <w:bookmarkEnd w:id="0"/>
    <w:r>
      <w:rPr>
        <w:rFonts w:eastAsia="Noto Sans" w:cs="Noto Sans"/>
        <w:b w:val="false"/>
        <w:i w:val="false"/>
        <w:caps w:val="false"/>
        <w:smallCaps w:val="false"/>
        <w:strike w:val="false"/>
        <w:dstrike w:val="false"/>
        <w:color w:val="FF0000"/>
        <w:position w:val="0"/>
        <w:sz w:val="24"/>
        <w:sz w:val="24"/>
        <w:szCs w:val="24"/>
        <w:u w:val="none"/>
        <w:effect w:val="none"/>
        <w:vertAlign w:val="baseline"/>
      </w:rPr>
      <w:drawing>
        <wp:inline distT="0" distB="0" distL="0" distR="0">
          <wp:extent cx="2752725" cy="923925"/>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752725" cy="923925"/>
                  </a:xfrm>
                  <a:prstGeom prst="rect">
                    <a:avLst/>
                  </a:prstGeom>
                </pic:spPr>
              </pic:pic>
            </a:graphicData>
          </a:graphic>
        </wp:inline>
      </w:drawing>
    </w:r>
    <w:r>
      <w:rPr>
        <w:rFonts w:eastAsia="Noto Sans" w:cs="Noto Sans"/>
        <w:b w:val="false"/>
        <w:i w:val="false"/>
        <w:caps w:val="false"/>
        <w:smallCaps w:val="false"/>
        <w:strike w:val="false"/>
        <w:dstrike w:val="false"/>
        <w:color w:val="000000"/>
        <w:position w:val="0"/>
        <w:sz w:val="24"/>
        <w:sz w:val="24"/>
        <w:szCs w:val="24"/>
        <w:u w:val="none"/>
        <w:vertAlign w:val="baseline"/>
      </w:rPr>
      <w:t xml:space="preserve"> </w:t>
    </w:r>
  </w:p>
  <w:p>
    <w:pPr>
      <w:pStyle w:val="Normal"/>
      <w:widowControl/>
      <w:pBdr/>
      <w:shd w:val="clear" w:fill="auto"/>
      <w:tabs>
        <w:tab w:val="clear" w:pos="720"/>
        <w:tab w:val="center" w:pos="4819" w:leader="none"/>
        <w:tab w:val="right" w:pos="9638"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b w:val="false"/>
        <w:i w:val="false"/>
        <w:caps w:val="false"/>
        <w:smallCaps w:val="false"/>
        <w:strike w:val="false"/>
        <w:dstrike w:val="false"/>
        <w:color w:val="000000"/>
        <w:position w:val="0"/>
        <w:sz w:val="24"/>
        <w:sz w:val="24"/>
        <w:szCs w:val="24"/>
        <w:u w:val="none"/>
        <w:shd w:fill="auto" w:val="clear"/>
        <w:vertAlign w:val="baseline"/>
      </w:rPr>
    </w:r>
  </w:p>
</w:hdr>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Cs w:val="24"/>
        <w:lang w:val="ca-ES" w:eastAsia="zh-CN" w:bidi="hi-IN"/>
      </w:rPr>
    </w:rPrDefault>
    <w:pPrDefault>
      <w:pPr/>
    </w:pPrDefault>
  </w:docDefaults>
  <w:style w:type="paragraph" w:styleId="Normal">
    <w:name w:val="Normal"/>
    <w:qFormat/>
    <w:pPr>
      <w:widowControl w:val="false"/>
      <w:bidi w:val="0"/>
      <w:jc w:val="left"/>
    </w:pPr>
    <w:rPr>
      <w:rFonts w:ascii="Noto Sans" w:hAnsi="Noto Sans" w:eastAsia="Noto Sans" w:cs="Noto Sans"/>
      <w:color w:val="auto"/>
      <w:kern w:val="0"/>
      <w:sz w:val="24"/>
      <w:szCs w:val="24"/>
      <w:lang w:val="ca-ES" w:eastAsia="zh-CN" w:bidi="hi-IN"/>
    </w:rPr>
  </w:style>
  <w:style w:type="paragraph" w:styleId="Encapalament1">
    <w:name w:val="Heading 1"/>
    <w:basedOn w:val="Normal1"/>
    <w:next w:val="LOnormal"/>
    <w:qFormat/>
    <w:pPr>
      <w:keepNext w:val="true"/>
      <w:keepLines/>
      <w:pageBreakBefore w:val="false"/>
      <w:widowControl w:val="false"/>
      <w:bidi w:val="0"/>
      <w:spacing w:lineRule="auto" w:line="240" w:before="480" w:after="120"/>
      <w:jc w:val="left"/>
    </w:pPr>
    <w:rPr>
      <w:rFonts w:ascii="Noto Sans" w:hAnsi="Noto Sans" w:eastAsia="Noto Sans" w:cs="Noto Sans"/>
      <w:b/>
      <w:color w:val="auto"/>
      <w:kern w:val="0"/>
      <w:sz w:val="48"/>
      <w:szCs w:val="48"/>
      <w:lang w:val="ca-ES" w:eastAsia="zh-CN" w:bidi="hi-IN"/>
    </w:rPr>
  </w:style>
  <w:style w:type="paragraph" w:styleId="Encapalament2">
    <w:name w:val="Heading 2"/>
    <w:basedOn w:val="Normal1"/>
    <w:next w:val="LOnormal"/>
    <w:qFormat/>
    <w:pPr>
      <w:keepNext w:val="true"/>
      <w:keepLines/>
      <w:pageBreakBefore w:val="false"/>
      <w:widowControl w:val="false"/>
      <w:bidi w:val="0"/>
      <w:spacing w:lineRule="auto" w:line="240" w:before="360" w:after="80"/>
      <w:jc w:val="left"/>
    </w:pPr>
    <w:rPr>
      <w:rFonts w:ascii="Noto Sans" w:hAnsi="Noto Sans" w:eastAsia="Noto Sans" w:cs="Noto Sans"/>
      <w:b/>
      <w:color w:val="auto"/>
      <w:kern w:val="0"/>
      <w:sz w:val="36"/>
      <w:szCs w:val="36"/>
      <w:lang w:val="ca-ES" w:eastAsia="zh-CN" w:bidi="hi-IN"/>
    </w:rPr>
  </w:style>
  <w:style w:type="paragraph" w:styleId="Encapalament3">
    <w:name w:val="Heading 3"/>
    <w:basedOn w:val="Normal1"/>
    <w:next w:val="LOnormal"/>
    <w:qFormat/>
    <w:pPr>
      <w:keepNext w:val="true"/>
      <w:keepLines/>
      <w:pageBreakBefore w:val="false"/>
      <w:widowControl w:val="false"/>
      <w:bidi w:val="0"/>
      <w:spacing w:lineRule="auto" w:line="240" w:before="280" w:after="80"/>
      <w:jc w:val="left"/>
    </w:pPr>
    <w:rPr>
      <w:rFonts w:ascii="Noto Sans" w:hAnsi="Noto Sans" w:eastAsia="Noto Sans" w:cs="Noto Sans"/>
      <w:b/>
      <w:color w:val="auto"/>
      <w:kern w:val="0"/>
      <w:sz w:val="28"/>
      <w:szCs w:val="28"/>
      <w:lang w:val="ca-ES" w:eastAsia="zh-CN" w:bidi="hi-IN"/>
    </w:rPr>
  </w:style>
  <w:style w:type="paragraph" w:styleId="Encapalament4">
    <w:name w:val="Heading 4"/>
    <w:basedOn w:val="Normal1"/>
    <w:next w:val="LOnormal"/>
    <w:qFormat/>
    <w:pPr>
      <w:keepNext w:val="true"/>
      <w:keepLines/>
      <w:pageBreakBefore w:val="false"/>
      <w:widowControl w:val="false"/>
      <w:bidi w:val="0"/>
      <w:spacing w:lineRule="auto" w:line="240" w:before="240" w:after="40"/>
      <w:jc w:val="left"/>
    </w:pPr>
    <w:rPr>
      <w:rFonts w:ascii="Noto Sans" w:hAnsi="Noto Sans" w:eastAsia="Noto Sans" w:cs="Noto Sans"/>
      <w:b/>
      <w:color w:val="auto"/>
      <w:kern w:val="0"/>
      <w:sz w:val="24"/>
      <w:szCs w:val="24"/>
      <w:lang w:val="ca-ES" w:eastAsia="zh-CN" w:bidi="hi-IN"/>
    </w:rPr>
  </w:style>
  <w:style w:type="paragraph" w:styleId="Encapalament5">
    <w:name w:val="Heading 5"/>
    <w:basedOn w:val="Normal1"/>
    <w:next w:val="LOnormal"/>
    <w:qFormat/>
    <w:pPr>
      <w:keepNext w:val="true"/>
      <w:keepLines/>
      <w:pageBreakBefore w:val="false"/>
      <w:widowControl w:val="false"/>
      <w:bidi w:val="0"/>
      <w:spacing w:lineRule="auto" w:line="240" w:before="220" w:after="40"/>
      <w:jc w:val="left"/>
    </w:pPr>
    <w:rPr>
      <w:rFonts w:ascii="Noto Sans" w:hAnsi="Noto Sans" w:eastAsia="Noto Sans" w:cs="Noto Sans"/>
      <w:b/>
      <w:color w:val="auto"/>
      <w:kern w:val="0"/>
      <w:sz w:val="22"/>
      <w:szCs w:val="22"/>
      <w:lang w:val="ca-ES" w:eastAsia="zh-CN" w:bidi="hi-IN"/>
    </w:rPr>
  </w:style>
  <w:style w:type="paragraph" w:styleId="Encapalament6">
    <w:name w:val="Heading 6"/>
    <w:basedOn w:val="Normal1"/>
    <w:next w:val="LOnormal"/>
    <w:qFormat/>
    <w:pPr>
      <w:keepNext w:val="true"/>
      <w:keepLines/>
      <w:pageBreakBefore w:val="false"/>
      <w:widowControl w:val="false"/>
      <w:bidi w:val="0"/>
      <w:spacing w:lineRule="auto" w:line="240" w:before="200" w:after="40"/>
      <w:jc w:val="left"/>
    </w:pPr>
    <w:rPr>
      <w:rFonts w:ascii="Noto Sans" w:hAnsi="Noto Sans" w:eastAsia="Noto Sans" w:cs="Noto Sans"/>
      <w:b/>
      <w:color w:val="auto"/>
      <w:kern w:val="0"/>
      <w:sz w:val="20"/>
      <w:szCs w:val="20"/>
      <w:lang w:val="ca-ES" w:eastAsia="zh-CN" w:bidi="hi-IN"/>
    </w:rPr>
  </w:style>
  <w:style w:type="character" w:styleId="EnlladInternet">
    <w:name w:val="Enllaç d'Internet"/>
    <w:rPr>
      <w:color w:val="000080"/>
      <w:u w:val="single"/>
      <w:lang w:val="zxx" w:eastAsia="zxx" w:bidi="zxx"/>
    </w:rPr>
  </w:style>
  <w:style w:type="character" w:styleId="EnlladInternetvisitat">
    <w:name w:val="Enllaç d'Internet visitat"/>
    <w:rPr>
      <w:color w:val="800000"/>
      <w:u w:val="single"/>
      <w:lang w:val="zxx" w:eastAsia="zxx" w:bidi="zxx"/>
    </w:rPr>
  </w:style>
  <w:style w:type="character" w:styleId="ListLabel1">
    <w:name w:val="ListLabel 1"/>
    <w:qFormat/>
    <w:rPr>
      <w:rFonts w:ascii="Noto Sans" w:hAnsi="Noto Sans" w:cs="Noto Sans"/>
      <w:color w:val="0000FF"/>
      <w:sz w:val="15"/>
      <w:szCs w:val="15"/>
      <w:u w:val="none"/>
      <w:lang w:eastAsia="ar-SA"/>
    </w:rPr>
  </w:style>
  <w:style w:type="character" w:styleId="ListLabel2">
    <w:name w:val="ListLabel 2"/>
    <w:qFormat/>
    <w:rPr>
      <w:sz w:val="18"/>
      <w:szCs w:val="18"/>
      <w:u w:val="single"/>
    </w:rPr>
  </w:style>
  <w:style w:type="character" w:styleId="ListLabel3">
    <w:name w:val="ListLabel 3"/>
    <w:qFormat/>
    <w:rPr>
      <w:rFonts w:ascii="Noto Sans" w:hAnsi="Noto Sans" w:eastAsia="Noto Sans" w:cs="Noto Sans"/>
      <w:b w:val="false"/>
      <w:i w:val="false"/>
      <w:caps w:val="false"/>
      <w:smallCaps w:val="false"/>
      <w:strike w:val="false"/>
      <w:dstrike w:val="false"/>
      <w:color w:val="0000FF"/>
      <w:position w:val="0"/>
      <w:sz w:val="15"/>
      <w:sz w:val="15"/>
      <w:szCs w:val="15"/>
      <w:u w:val="none"/>
      <w:vertAlign w:val="baseline"/>
    </w:rPr>
  </w:style>
  <w:style w:type="character" w:styleId="ListLabel4">
    <w:name w:val="ListLabel 4"/>
    <w:qFormat/>
    <w:rPr>
      <w:rFonts w:ascii="Noto Sans" w:hAnsi="Noto Sans" w:eastAsia="Noto Sans" w:cs="Noto Sans"/>
      <w:b w:val="false"/>
      <w:i w:val="false"/>
      <w:caps w:val="false"/>
      <w:smallCaps w:val="false"/>
      <w:strike w:val="false"/>
      <w:dstrike w:val="false"/>
      <w:color w:val="000000"/>
      <w:position w:val="0"/>
      <w:sz w:val="18"/>
      <w:sz w:val="18"/>
      <w:szCs w:val="18"/>
      <w:u w:val="single"/>
      <w:vertAlign w:val="baseline"/>
    </w:rPr>
  </w:style>
  <w:style w:type="character" w:styleId="ListLabel5">
    <w:name w:val="ListLabel 5"/>
    <w:qFormat/>
    <w:rPr>
      <w:rFonts w:ascii="Noto Sans" w:hAnsi="Noto Sans" w:eastAsia="Noto Sans" w:cs="Noto Sans"/>
      <w:b w:val="false"/>
      <w:i w:val="false"/>
      <w:caps w:val="false"/>
      <w:smallCaps w:val="false"/>
      <w:strike w:val="false"/>
      <w:dstrike w:val="false"/>
      <w:color w:val="0000FF"/>
      <w:position w:val="0"/>
      <w:sz w:val="15"/>
      <w:sz w:val="15"/>
      <w:szCs w:val="15"/>
      <w:u w:val="none"/>
      <w:vertAlign w:val="baseline"/>
    </w:rPr>
  </w:style>
  <w:style w:type="paragraph" w:styleId="Encapalament">
    <w:name w:val="Encapçalament"/>
    <w:next w:val="Cosdeltext"/>
    <w:qFormat/>
    <w:pPr>
      <w:keepNext w:val="true"/>
      <w:widowControl w:val="false"/>
      <w:spacing w:before="240" w:after="120"/>
    </w:pPr>
    <w:rPr>
      <w:rFonts w:ascii="Liberation Sans" w:hAnsi="Liberation Sans" w:eastAsia="Microsoft YaHei" w:cs="Arial"/>
      <w:color w:val="auto"/>
      <w:kern w:val="0"/>
      <w:sz w:val="28"/>
      <w:szCs w:val="28"/>
      <w:lang w:val="ca-ES" w:eastAsia="zh-CN" w:bidi="hi-IN"/>
    </w:rPr>
  </w:style>
  <w:style w:type="paragraph" w:styleId="Cosdeltext">
    <w:name w:val="Body Text"/>
    <w:pPr>
      <w:widowControl w:val="false"/>
      <w:spacing w:lineRule="auto" w:line="276" w:before="0" w:after="140"/>
    </w:pPr>
    <w:rPr>
      <w:rFonts w:ascii="Noto Sans" w:hAnsi="Noto Sans" w:eastAsia="Noto Sans" w:cs="Noto Sans"/>
      <w:color w:val="auto"/>
      <w:kern w:val="0"/>
      <w:sz w:val="24"/>
      <w:szCs w:val="24"/>
      <w:lang w:val="ca-ES" w:eastAsia="zh-CN" w:bidi="hi-IN"/>
    </w:rPr>
  </w:style>
  <w:style w:type="paragraph" w:styleId="Llista">
    <w:name w:val="List"/>
    <w:basedOn w:val="Cosdeltext"/>
    <w:pPr/>
    <w:rPr>
      <w:rFonts w:cs="Arial"/>
    </w:rPr>
  </w:style>
  <w:style w:type="paragraph" w:styleId="Llegenda">
    <w:name w:val="Caption"/>
    <w:qFormat/>
    <w:pPr>
      <w:widowControl w:val="false"/>
      <w:suppressLineNumbers/>
      <w:spacing w:before="120" w:after="120"/>
    </w:pPr>
    <w:rPr>
      <w:rFonts w:cs="Arial" w:ascii="Noto Sans" w:hAnsi="Noto Sans" w:eastAsia="Noto Sans"/>
      <w:i/>
      <w:iCs/>
      <w:color w:val="auto"/>
      <w:kern w:val="0"/>
      <w:sz w:val="24"/>
      <w:szCs w:val="24"/>
      <w:lang w:val="ca-ES" w:eastAsia="zh-CN" w:bidi="hi-IN"/>
    </w:rPr>
  </w:style>
  <w:style w:type="paragraph" w:styleId="Ndex">
    <w:name w:val="Índex"/>
    <w:qFormat/>
    <w:pPr>
      <w:widowControl w:val="false"/>
      <w:suppressLineNumbers/>
    </w:pPr>
    <w:rPr>
      <w:rFonts w:cs="Arial" w:ascii="Noto Sans" w:hAnsi="Noto Sans" w:eastAsia="Noto Sans"/>
      <w:color w:val="auto"/>
      <w:kern w:val="0"/>
      <w:sz w:val="24"/>
      <w:szCs w:val="24"/>
      <w:lang w:val="ca-ES" w:eastAsia="zh-CN" w:bidi="hi-IN"/>
    </w:rPr>
  </w:style>
  <w:style w:type="paragraph" w:styleId="Normal1" w:default="1">
    <w:name w:val="LO-normal3"/>
    <w:qFormat/>
    <w:pPr>
      <w:widowControl/>
      <w:bidi w:val="0"/>
      <w:jc w:val="left"/>
    </w:pPr>
    <w:rPr>
      <w:rFonts w:ascii="Noto Sans" w:hAnsi="Noto Sans" w:eastAsia="Noto Sans" w:cs="Noto Sans"/>
      <w:color w:val="auto"/>
      <w:kern w:val="0"/>
      <w:sz w:val="24"/>
      <w:szCs w:val="24"/>
      <w:lang w:val="ca-ES" w:eastAsia="zh-CN" w:bidi="hi-IN"/>
    </w:rPr>
  </w:style>
  <w:style w:type="paragraph" w:styleId="Ttol">
    <w:name w:val="Title"/>
    <w:next w:val="LOnormal"/>
    <w:qFormat/>
    <w:pPr>
      <w:keepNext w:val="true"/>
      <w:keepLines/>
      <w:pageBreakBefore w:val="false"/>
      <w:widowControl w:val="false"/>
      <w:spacing w:lineRule="auto" w:line="240" w:before="480" w:after="120"/>
    </w:pPr>
    <w:rPr>
      <w:rFonts w:ascii="Noto Sans" w:hAnsi="Noto Sans" w:eastAsia="Noto Sans" w:cs="Noto Sans"/>
      <w:b/>
      <w:color w:val="auto"/>
      <w:kern w:val="0"/>
      <w:sz w:val="72"/>
      <w:szCs w:val="72"/>
      <w:lang w:val="ca-ES" w:eastAsia="zh-CN" w:bidi="hi-IN"/>
    </w:rPr>
  </w:style>
  <w:style w:type="paragraph" w:styleId="LOnormal1" w:default="1">
    <w:name w:val="LO-normal1"/>
    <w:qFormat/>
    <w:pPr>
      <w:widowControl/>
      <w:bidi w:val="0"/>
      <w:jc w:val="left"/>
    </w:pPr>
    <w:rPr>
      <w:rFonts w:ascii="Noto Sans" w:hAnsi="Noto Sans" w:eastAsia="Noto Sans" w:cs="Noto Sans"/>
      <w:color w:val="auto"/>
      <w:kern w:val="0"/>
      <w:sz w:val="24"/>
      <w:szCs w:val="24"/>
      <w:lang w:val="ca-ES" w:eastAsia="zh-CN" w:bidi="hi-IN"/>
    </w:rPr>
  </w:style>
  <w:style w:type="paragraph" w:styleId="LOnormal" w:default="1">
    <w:name w:val="LO-normal"/>
    <w:qFormat/>
    <w:pPr>
      <w:widowControl/>
      <w:bidi w:val="0"/>
      <w:jc w:val="left"/>
    </w:pPr>
    <w:rPr>
      <w:rFonts w:ascii="Noto Sans" w:hAnsi="Noto Sans" w:eastAsia="Noto Sans" w:cs="Noto Sans"/>
      <w:color w:val="auto"/>
      <w:kern w:val="0"/>
      <w:sz w:val="24"/>
      <w:szCs w:val="24"/>
      <w:lang w:val="ca-ES" w:eastAsia="zh-CN" w:bidi="hi-IN"/>
    </w:rPr>
  </w:style>
  <w:style w:type="paragraph" w:styleId="Subttol">
    <w:name w:val="Subtitle"/>
    <w:basedOn w:val="Normal1"/>
    <w:next w:val="Normal1"/>
    <w:qFormat/>
    <w:pPr>
      <w:keepNext w:val="true"/>
      <w:keepLines/>
      <w:pageBreakBefore w:val="false"/>
      <w:widowControl w:val="false"/>
      <w:pBdr/>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LOnormal1"/>
    <w:pPr/>
    <w:rPr/>
  </w:style>
  <w:style w:type="paragraph" w:styleId="Peudepgina">
    <w:name w:val="Footer"/>
    <w:basedOn w:val="LOnormal1"/>
    <w:pPr>
      <w:suppressLineNumbers/>
      <w:tabs>
        <w:tab w:val="clear" w:pos="720"/>
        <w:tab w:val="center" w:pos="4535" w:leader="none"/>
        <w:tab w:val="right" w:pos="9071" w:leader="none"/>
      </w:tabs>
    </w:pPr>
    <w:rPr/>
  </w:style>
  <w:style w:type="paragraph" w:styleId="HeaderandFooter">
    <w:name w:val="Header and Footer"/>
    <w:basedOn w:val="LOnormal1"/>
    <w:qFormat/>
    <w:pPr>
      <w:suppressLineNumbers/>
      <w:tabs>
        <w:tab w:val="clear" w:pos="720"/>
        <w:tab w:val="center" w:pos="4819" w:leader="none"/>
        <w:tab w:val="right" w:pos="9638" w:leader="none"/>
      </w:tabs>
    </w:pPr>
    <w:rPr/>
  </w:style>
  <w:style w:type="paragraph" w:styleId="Peu">
    <w:name w:val="Peu"/>
    <w:basedOn w:val="HeaderandFooter"/>
    <w:qFormat/>
    <w:pPr>
      <w:suppressAutoHyphens w:val="true"/>
    </w:pPr>
    <w:rPr/>
  </w:style>
  <w:style w:type="table" w:default="1" w:styleId="TableNormal">
    <w:name w:val="Table Normal"/>
  </w:style>
  <w:style w:type="table" w:default="1" w:styleId="TableNormal">
    <w:name w:val="Table Normal"/>
  </w:style>
  <w:style w:type="table" w:default="1" w:styleId="TableNormal">
    <w:name w:val="Table Normal"/>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otecciodades@dpd.caib.es"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footer1.xml.rels><?xml version="1.0" encoding="UTF-8"?>
<Relationships xmlns="http://schemas.openxmlformats.org/package/2006/relationships"><Relationship Id="rId1" Type="http://schemas.openxmlformats.org/officeDocument/2006/relationships/hyperlink" Target="http://soib.es/" TargetMode="Externa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nAKI86jKk1LbLnF/qW9+efoIkOA==">CgMxLjAaHwoBMBIaChgICVIUChJ0YWJsZS51b3FxaHB2bW5yN3caHwoBMRIaChgICVIUChJ0YWJsZS5peWJsODhrdTNiYjgaHwoBMhIaChgICVIUChJ0YWJsZS5qdmMxNW1wbTlhN2k4AHIhMW9hWXZRa1ZaVkNIRnFOV19jUkQzR0NSQ3JKVXFGalJP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LibreOffice/6.1.5.2$Windows_x86 LibreOffice_project/90f8dcf33c87b3705e78202e3df5142b201bd805</Application>
  <Pages>7</Pages>
  <Words>1219</Words>
  <Characters>7110</Characters>
  <CharactersWithSpaces>8442</CharactersWithSpaces>
  <Paragraphs>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2025-11-25T13:11:43Z</dcterms:modified>
  <cp:revision>1</cp:revision>
  <dc:subject/>
  <dc:title/>
</cp:coreProperties>
</file>