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false"/>
        <w:keepLines w:val="false"/>
        <w:pageBreakBefore w:val="false"/>
        <w:widowControl w:val="false"/>
        <w:spacing w:lineRule="auto" w:line="276" w:before="0" w:after="200"/>
        <w:ind w:left="0" w:right="0" w:hanging="0"/>
        <w:jc w:val="left"/>
        <w:rPr>
          <w:rFonts w:ascii="Noto Sans" w:hAnsi="Noto Sans" w:eastAsia="Noto Sans" w:cs="Noto Sans"/>
          <w:b/>
          <w:b/>
          <w:i w:val="false"/>
          <w:i w:val="false"/>
          <w:caps w:val="false"/>
          <w:smallCaps w:val="false"/>
          <w:strike w:val="false"/>
          <w:dstrike w:val="false"/>
          <w:color w:val="A7074B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/>
          <w:i w:val="false"/>
          <w:caps w:val="false"/>
          <w:smallCaps w:val="false"/>
          <w:strike w:val="false"/>
          <w:dstrike w:val="false"/>
          <w:color w:val="A7074B"/>
          <w:position w:val="0"/>
          <w:sz w:val="22"/>
          <w:sz w:val="22"/>
          <w:szCs w:val="22"/>
          <w:u w:val="none"/>
          <w:vertAlign w:val="baseline"/>
        </w:rPr>
        <w:t>ANNEX 1 (Emplenar un annex per a cada Centre d’Atenció Principal disponible)</w:t>
      </w:r>
    </w:p>
    <w:p>
      <w:pPr>
        <w:pStyle w:val="Normal"/>
        <w:keepNext w:val="false"/>
        <w:keepLines w:val="false"/>
        <w:pageBreakBefore w:val="false"/>
        <w:widowControl w:val="false"/>
        <w:spacing w:lineRule="auto" w:line="276" w:before="0" w:after="200"/>
        <w:ind w:left="0" w:right="0" w:hanging="0"/>
        <w:jc w:val="left"/>
        <w:rPr>
          <w:rFonts w:ascii="Noto Sans" w:hAnsi="Noto Sans" w:eastAsia="Noto Sans" w:cs="Noto Sans"/>
          <w:b/>
          <w:b/>
          <w:color w:val="A7074B"/>
        </w:rPr>
      </w:pPr>
      <w:r>
        <w:rPr>
          <w:rFonts w:eastAsia="Noto Sans" w:cs="Noto Sans" w:ascii="Noto Sans" w:hAnsi="Noto Sans"/>
          <w:b/>
          <w:color w:val="A7074B"/>
        </w:rPr>
      </w:r>
    </w:p>
    <w:p>
      <w:pPr>
        <w:pStyle w:val="Normal"/>
        <w:keepNext w:val="false"/>
        <w:keepLines w:val="false"/>
        <w:pageBreakBefore w:val="false"/>
        <w:widowControl w:val="false"/>
        <w:spacing w:lineRule="auto" w:line="276" w:before="0" w:after="200"/>
        <w:ind w:left="0" w:right="0" w:hanging="0"/>
        <w:jc w:val="left"/>
        <w:rPr>
          <w:rFonts w:ascii="Noto Sans" w:hAnsi="Noto Sans" w:eastAsia="Noto Sans" w:cs="Noto Sans"/>
          <w:b/>
          <w:b/>
          <w:color w:val="A7074B"/>
        </w:rPr>
      </w:pPr>
      <w:r>
        <w:rPr>
          <w:rFonts w:eastAsia="Noto Sans" w:cs="Noto Sans" w:ascii="Noto Sans" w:hAnsi="Noto Sans"/>
          <w:b/>
          <w:color w:val="A7074B"/>
        </w:rPr>
      </w:r>
    </w:p>
    <w:tbl>
      <w:tblPr>
        <w:tblStyle w:val="Table1"/>
        <w:tblW w:w="10589" w:type="dxa"/>
        <w:jc w:val="left"/>
        <w:tblInd w:w="-930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471"/>
        <w:gridCol w:w="3652"/>
        <w:gridCol w:w="3001"/>
        <w:gridCol w:w="1464"/>
      </w:tblGrid>
      <w:tr>
        <w:trPr/>
        <w:tc>
          <w:tcPr>
            <w:tcW w:w="105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/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C30045"/>
                <w:position w:val="0"/>
                <w:sz w:val="20"/>
                <w:sz w:val="20"/>
                <w:szCs w:val="20"/>
                <w:u w:val="none"/>
                <w:vertAlign w:val="baseline"/>
              </w:rPr>
              <w:t xml:space="preserve">    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C30045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A7074B"/>
                <w:position w:val="0"/>
                <w:sz w:val="22"/>
                <w:sz w:val="22"/>
                <w:szCs w:val="22"/>
                <w:u w:val="none"/>
                <w:vertAlign w:val="baseline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A7074B"/>
                <w:position w:val="0"/>
                <w:sz w:val="22"/>
                <w:sz w:val="22"/>
                <w:szCs w:val="22"/>
                <w:u w:val="none"/>
                <w:vertAlign w:val="baseline"/>
              </w:rPr>
              <w:t xml:space="preserve">CENTRE D'ATENCIÓ PRINCIPAL 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A7074B"/>
                <w:position w:val="0"/>
                <w:sz w:val="20"/>
                <w:sz w:val="20"/>
                <w:szCs w:val="20"/>
                <w:u w:val="none"/>
                <w:vertAlign w:val="baseline"/>
              </w:rPr>
              <w:t xml:space="preserve">                                                                                                                                                              </w:t>
            </w:r>
          </w:p>
        </w:tc>
      </w:tr>
      <w:tr>
        <w:trPr/>
        <w:tc>
          <w:tcPr>
            <w:tcW w:w="105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left"/>
              <w:rPr/>
            </w:pPr>
            <w:r>
              <w:rPr>
                <w:rFonts w:eastAsia="Noto Sans" w:cs="Noto Sans" w:ascii="Noto Sans" w:hAnsi="Noto Sans"/>
                <w:b/>
              </w:rPr>
              <w:t xml:space="preserve">Nom de l’entitat:     </w:t>
            </w:r>
          </w:p>
        </w:tc>
      </w:tr>
      <w:tr>
        <w:trPr/>
        <w:tc>
          <w:tcPr>
            <w:tcW w:w="105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</w:rPr>
            </w:pPr>
            <w:r>
              <w:rPr>
                <w:rFonts w:eastAsia="Noto Sans" w:cs="Noto Sans" w:ascii="Noto Sans" w:hAnsi="Noto Sans"/>
                <w:b w:val="false"/>
              </w:rPr>
              <w:t xml:space="preserve">Núm d’ordre a la sol.licitud: </w:t>
            </w:r>
          </w:p>
        </w:tc>
      </w:tr>
      <w:tr>
        <w:trPr/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Adreça</w:t>
            </w:r>
          </w:p>
        </w:tc>
        <w:tc>
          <w:tcPr>
            <w:tcW w:w="81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/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Municipi</w:t>
            </w:r>
          </w:p>
        </w:tc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Codi postal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/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Telèfons</w:t>
            </w:r>
          </w:p>
        </w:tc>
        <w:tc>
          <w:tcPr>
            <w:tcW w:w="81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>
          <w:trHeight w:val="499" w:hRule="atLeast"/>
        </w:trPr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Adreça electrònica</w:t>
            </w:r>
          </w:p>
        </w:tc>
        <w:tc>
          <w:tcPr>
            <w:tcW w:w="81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/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Persona de contacte</w:t>
            </w:r>
          </w:p>
        </w:tc>
        <w:tc>
          <w:tcPr>
            <w:tcW w:w="81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/>
        <w:tc>
          <w:tcPr>
            <w:tcW w:w="24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88" w:before="0" w:after="14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Horari setmanal d’atenció als usuaris</w:t>
            </w:r>
          </w:p>
        </w:tc>
        <w:tc>
          <w:tcPr>
            <w:tcW w:w="811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center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pageBreakBefore w:val="false"/>
        <w:widowControl w:val="false"/>
        <w:spacing w:lineRule="auto" w:line="288" w:before="0" w:after="140"/>
        <w:ind w:left="0" w:right="0" w:hanging="0"/>
        <w:jc w:val="left"/>
        <w:rPr>
          <w:rFonts w:ascii="Noto Sans" w:hAnsi="Noto Sans" w:eastAsia="Noto Sans" w:cs="Noto Sans"/>
          <w:color w:val="C30045"/>
        </w:rPr>
      </w:pPr>
      <w:r>
        <w:rPr>
          <w:rFonts w:eastAsia="Noto Sans" w:cs="Noto Sans" w:ascii="Noto Sans" w:hAnsi="Noto Sans"/>
          <w:color w:val="C30045"/>
        </w:rPr>
      </w:r>
    </w:p>
    <w:p>
      <w:pPr>
        <w:pStyle w:val="Normal"/>
        <w:pageBreakBefore w:val="false"/>
        <w:widowControl w:val="false"/>
        <w:spacing w:lineRule="auto" w:line="288" w:before="0" w:after="140"/>
        <w:ind w:left="0" w:right="0" w:hanging="0"/>
        <w:jc w:val="left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C30045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C30045"/>
          <w:position w:val="0"/>
          <w:sz w:val="22"/>
          <w:sz w:val="22"/>
          <w:szCs w:val="22"/>
          <w:u w:val="none"/>
          <w:vertAlign w:val="baseline"/>
        </w:rPr>
        <w:t xml:space="preserve">           </w:t>
      </w:r>
    </w:p>
    <w:tbl>
      <w:tblPr>
        <w:tblStyle w:val="Table2"/>
        <w:tblW w:w="10650" w:type="dxa"/>
        <w:jc w:val="left"/>
        <w:tblInd w:w="-948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650"/>
      </w:tblGrid>
      <w:tr>
        <w:trPr/>
        <w:tc>
          <w:tcPr>
            <w:tcW w:w="10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Breu descripció de la infraestructura  (característiques del local, accessibilitat,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zona de recepció,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banys, espais d’atenció individual i grupal) 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A7074B"/>
                <w:position w:val="0"/>
                <w:sz w:val="18"/>
                <w:sz w:val="18"/>
                <w:szCs w:val="18"/>
                <w:u w:val="none"/>
                <w:vertAlign w:val="baseline"/>
              </w:rPr>
              <w:t>(Adjuntar plànols amb distribució d’espais)</w:t>
            </w:r>
          </w:p>
        </w:tc>
      </w:tr>
      <w:tr>
        <w:trPr>
          <w:trHeight w:val="988" w:hRule="atLeast"/>
        </w:trPr>
        <w:tc>
          <w:tcPr>
            <w:tcW w:w="106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76" w:before="0" w:after="140"/>
        <w:ind w:left="0" w:right="0" w:hanging="0"/>
        <w:jc w:val="left"/>
        <w:rPr/>
      </w:pPr>
      <w:r>
        <w:rPr/>
      </w:r>
    </w:p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76" w:before="0" w:after="140"/>
        <w:ind w:left="0" w:right="0" w:hanging="0"/>
        <w:jc w:val="left"/>
        <w:rPr/>
      </w:pPr>
      <w:r>
        <w:rPr/>
      </w:r>
    </w:p>
    <w:tbl>
      <w:tblPr>
        <w:tblStyle w:val="Table3"/>
        <w:tblW w:w="10680" w:type="dxa"/>
        <w:jc w:val="left"/>
        <w:tblInd w:w="-963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680"/>
      </w:tblGrid>
      <w:tr>
        <w:trPr>
          <w:trHeight w:val="450" w:hRule="atLeast"/>
        </w:trPr>
        <w:tc>
          <w:tcPr>
            <w:tcW w:w="106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/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a) Número de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despatxos individuals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:</w:t>
            </w:r>
          </w:p>
        </w:tc>
      </w:tr>
      <w:tr>
        <w:trPr>
          <w:trHeight w:val="913" w:hRule="atLeast"/>
        </w:trPr>
        <w:tc>
          <w:tcPr>
            <w:tcW w:w="106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Codi d’identificació al plànol i superfície de cadascun:</w:t>
            </w:r>
          </w:p>
        </w:tc>
      </w:tr>
      <w:tr>
        <w:trPr>
          <w:trHeight w:val="419" w:hRule="atLeast"/>
        </w:trPr>
        <w:tc>
          <w:tcPr>
            <w:tcW w:w="106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Descripció dels equipaments </w:t>
            </w:r>
            <w:r>
              <w:rPr>
                <w:rFonts w:eastAsia="Noto Sans" w:cs="Noto Sans" w:ascii="Noto Sans" w:hAnsi="Noto Sans"/>
                <w:sz w:val="18"/>
                <w:szCs w:val="18"/>
              </w:rPr>
              <w:t>tècnics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i materials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pageBreakBefore w:val="false"/>
        <w:widowControl w:val="false"/>
        <w:spacing w:lineRule="auto" w:line="288" w:before="0" w:after="140"/>
        <w:ind w:left="0" w:right="0" w:hanging="0"/>
        <w:jc w:val="left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</w:r>
    </w:p>
    <w:p>
      <w:pPr>
        <w:pStyle w:val="Normal"/>
        <w:keepNext w:val="false"/>
        <w:keepLines w:val="false"/>
        <w:pageBreakBefore w:val="false"/>
        <w:widowControl w:val="false"/>
        <w:spacing w:lineRule="auto" w:line="288" w:before="0" w:after="140"/>
        <w:ind w:left="0" w:right="0" w:hanging="0"/>
        <w:jc w:val="left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</w:r>
    </w:p>
    <w:p>
      <w:pPr>
        <w:pStyle w:val="Normal"/>
        <w:keepNext w:val="false"/>
        <w:keepLines w:val="false"/>
        <w:pageBreakBefore w:val="false"/>
        <w:widowControl w:val="false"/>
        <w:spacing w:lineRule="auto" w:line="288" w:before="0" w:after="140"/>
        <w:ind w:left="0" w:right="0" w:hanging="0"/>
        <w:jc w:val="left"/>
        <w:rPr>
          <w:rFonts w:ascii="Noto Sans" w:hAnsi="Noto Sans" w:eastAsia="Noto Sans" w:cs="Noto Sans"/>
        </w:rPr>
      </w:pPr>
      <w:r>
        <w:rPr>
          <w:rFonts w:eastAsia="Noto Sans" w:cs="Noto Sans" w:ascii="Noto Sans" w:hAnsi="Noto Sans"/>
        </w:rPr>
      </w:r>
    </w:p>
    <w:tbl>
      <w:tblPr>
        <w:tblStyle w:val="Table4"/>
        <w:tblW w:w="10500" w:type="dxa"/>
        <w:jc w:val="left"/>
        <w:tblInd w:w="-795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500"/>
      </w:tblGrid>
      <w:tr>
        <w:trPr>
          <w:trHeight w:val="625" w:hRule="atLeast"/>
        </w:trPr>
        <w:tc>
          <w:tcPr>
            <w:tcW w:w="105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/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b) Número d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’espais d’atenció grupal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:    </w:t>
            </w:r>
          </w:p>
        </w:tc>
      </w:tr>
      <w:tr>
        <w:trPr>
          <w:trHeight w:val="645" w:hRule="atLeast"/>
        </w:trPr>
        <w:tc>
          <w:tcPr>
            <w:tcW w:w="105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Codi d’identificació al plànol i superfície de cadascun</w:t>
            </w:r>
          </w:p>
        </w:tc>
      </w:tr>
      <w:tr>
        <w:trPr>
          <w:trHeight w:val="2100" w:hRule="atLeast"/>
        </w:trPr>
        <w:tc>
          <w:tcPr>
            <w:tcW w:w="105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Descripció dels equipaments </w:t>
            </w:r>
            <w:r>
              <w:rPr>
                <w:rFonts w:eastAsia="Noto Sans" w:cs="Noto Sans" w:ascii="Noto Sans" w:hAnsi="Noto Sans"/>
                <w:sz w:val="18"/>
                <w:szCs w:val="18"/>
              </w:rPr>
              <w:t>tècnics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i materials</w:t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76" w:before="0" w:after="140"/>
        <w:ind w:left="0" w:right="-183" w:hanging="0"/>
        <w:jc w:val="left"/>
        <w:rPr>
          <w:rFonts w:ascii="Calibri" w:hAnsi="Calibri" w:eastAsia="Calibri" w:cs="Calibri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Calibri" w:cs="Calibri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5"/>
        <w:tblW w:w="10537" w:type="dxa"/>
        <w:jc w:val="left"/>
        <w:tblInd w:w="-792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537"/>
      </w:tblGrid>
      <w:tr>
        <w:trPr/>
        <w:tc>
          <w:tcPr>
            <w:tcW w:w="105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c)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Espai de treball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per a tot el personal del servei mentre no fa atenció individual o grupal (si escau). Codi d’identificació al plànol: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>
          <w:trHeight w:val="1388" w:hRule="atLeast"/>
        </w:trPr>
        <w:tc>
          <w:tcPr>
            <w:tcW w:w="105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</w:rPr>
            </w:pPr>
            <w:r>
              <w:rPr>
                <w:rFonts w:eastAsia="Noto Sans" w:cs="Noto Sans" w:ascii="Noto Sans" w:hAnsi="Noto Sans"/>
                <w:strike w:val="false"/>
                <w:dstrike w:val="false"/>
                <w:sz w:val="18"/>
                <w:szCs w:val="18"/>
              </w:rPr>
              <w:t>D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escripció dels equipaments tècnics i materials: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widowControl w:val="false"/>
        <w:spacing w:lineRule="auto" w:line="288" w:before="0" w:after="140"/>
        <w:ind w:left="0" w:right="-183" w:hanging="0"/>
        <w:jc w:val="left"/>
        <w:rPr>
          <w:rFonts w:ascii="Noto Sans" w:hAnsi="Noto Sans" w:eastAsia="Noto Sans" w:cs="Noto Sans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Noto Sans" w:cs="Noto Sans" w:ascii="Noto Sans" w:hAnsi="Noto Sans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r>
    </w:p>
    <w:tbl>
      <w:tblPr>
        <w:tblStyle w:val="Table6"/>
        <w:tblW w:w="10650" w:type="dxa"/>
        <w:jc w:val="left"/>
        <w:tblInd w:w="-878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12" w:space="0" w:color="000000"/>
          <w:insideH w:val="single" w:sz="4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650"/>
      </w:tblGrid>
      <w:tr>
        <w:trPr>
          <w:trHeight w:val="420" w:hRule="atLeast"/>
        </w:trPr>
        <w:tc>
          <w:tcPr>
            <w:tcW w:w="10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/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d)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Espai amb recursos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 xml:space="preserve"> per facilitar el procés d’inserció de les persones usuàries en igualtat de condicions: codi d'identificació al plànol: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  <w:tr>
        <w:trPr>
          <w:trHeight w:val="420" w:hRule="atLeast"/>
        </w:trPr>
        <w:tc>
          <w:tcPr>
            <w:tcW w:w="106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  <w:t>Recursos a disposició de les persones participants:</w:t>
            </w:r>
          </w:p>
          <w:p>
            <w:pPr>
              <w:pStyle w:val="Normal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spacing w:lineRule="auto" w:line="240" w:before="0" w:after="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76" w:before="0" w:after="140"/>
        <w:ind w:left="0" w:right="-183" w:hanging="0"/>
        <w:jc w:val="left"/>
        <w:rPr>
          <w:rFonts w:ascii="Calibri" w:hAnsi="Calibri" w:eastAsia="Calibri" w:cs="Calibri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vertAlign w:val="baseline"/>
        </w:rPr>
      </w:pPr>
      <w:r>
        <w:rPr>
          <w:rFonts w:eastAsia="Calibri" w:cs="Calibri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tbl>
      <w:tblPr>
        <w:tblStyle w:val="Table7"/>
        <w:tblW w:w="10635" w:type="dxa"/>
        <w:jc w:val="left"/>
        <w:tblInd w:w="-9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10635"/>
      </w:tblGrid>
      <w:tr>
        <w:trPr/>
        <w:tc>
          <w:tcPr>
            <w:tcW w:w="10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76" w:before="0" w:after="20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2"/>
                <w:sz w:val="22"/>
                <w:szCs w:val="22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 xml:space="preserve">e) Bany ae) </w:t>
            </w:r>
            <w:r>
              <w:rPr>
                <w:rFonts w:eastAsia="Noto Sans" w:cs="Noto Sans" w:ascii="Noto Sans" w:hAnsi="Noto Sans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Bany adaptat</w:t>
            </w: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. Codi d’identificació al plànol:</w:t>
            </w:r>
          </w:p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76" w:before="0" w:after="20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</w:r>
          </w:p>
          <w:p>
            <w:pPr>
              <w:pStyle w:val="Normal"/>
              <w:keepNext w:val="false"/>
              <w:keepLines w:val="false"/>
              <w:widowControl w:val="false"/>
              <w:pBdr/>
              <w:shd w:val="clear" w:fill="auto"/>
              <w:spacing w:lineRule="auto" w:line="276" w:before="0" w:after="200"/>
              <w:ind w:left="0" w:right="-183" w:hanging="0"/>
              <w:jc w:val="left"/>
              <w:rPr>
                <w:rFonts w:ascii="Noto Sans" w:hAnsi="Noto Sans" w:eastAsia="Noto Sans" w:cs="Noto Sans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vertAlign w:val="baseline"/>
              </w:rPr>
            </w:pPr>
            <w:r>
              <w:rPr>
                <w:rFonts w:eastAsia="Noto Sans" w:cs="Noto Sans" w:ascii="Noto Sans" w:hAnsi="Noto Sans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</w:r>
          </w:p>
        </w:tc>
      </w:tr>
    </w:tbl>
    <w:p>
      <w:pPr>
        <w:pStyle w:val="Normal"/>
        <w:keepNext w:val="false"/>
        <w:keepLines w:val="false"/>
        <w:pageBreakBefore w:val="false"/>
        <w:widowControl w:val="false"/>
        <w:pBdr/>
        <w:shd w:val="clear" w:fill="auto"/>
        <w:spacing w:lineRule="auto" w:line="276" w:before="0" w:after="200"/>
        <w:ind w:left="0" w:right="0" w:hanging="794"/>
        <w:jc w:val="left"/>
        <w:rPr/>
      </w:pPr>
      <w:r>
        <w:rPr/>
      </w:r>
    </w:p>
    <w:sectPr>
      <w:headerReference w:type="default" r:id="rId2"/>
      <w:type w:val="nextPage"/>
      <w:pgSz w:w="11906" w:h="16838"/>
      <w:pgMar w:left="1440" w:right="1440" w:header="1440" w:top="1992" w:footer="0" w:bottom="1440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Georgia">
    <w:charset w:val="00"/>
    <w:family w:val="roman"/>
    <w:pitch w:val="variable"/>
  </w:font>
  <w:font w:name="Noto Sans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keepNext w:val="false"/>
      <w:keepLines w:val="false"/>
      <w:pageBreakBefore w:val="false"/>
      <w:widowControl w:val="false"/>
      <w:pBdr/>
      <w:shd w:val="clear" w:fill="auto"/>
      <w:tabs>
        <w:tab w:val="clear" w:pos="720"/>
        <w:tab w:val="center" w:pos="4513" w:leader="none"/>
        <w:tab w:val="right" w:pos="9026" w:leader="none"/>
      </w:tabs>
      <w:spacing w:lineRule="auto" w:line="276" w:before="0" w:after="20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vertAlign w:val="baseline"/>
      </w:rPr>
    </w:pPr>
    <w:bookmarkStart w:id="0" w:name="docs-internal-guid-332bfcb1-7fff-928f-95"/>
    <w:bookmarkEnd w:id="0"/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FF0000"/>
        <w:position w:val="0"/>
        <w:sz w:val="22"/>
        <w:sz w:val="22"/>
        <w:szCs w:val="22"/>
        <w:u w:val="none"/>
        <w:effect w:val="none"/>
        <w:vertAlign w:val="baseline"/>
      </w:rPr>
      <w:drawing>
        <wp:inline distT="0" distB="0" distL="0" distR="0">
          <wp:extent cx="2752725" cy="923925"/>
          <wp:effectExtent l="0" t="0" r="0" b="0"/>
          <wp:docPr id="1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52725" cy="9239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vertAlign w:val="baseline"/>
      </w:rPr>
      <w:t xml:space="preserve"> </w:t>
    </w:r>
  </w:p>
  <w:p>
    <w:pPr>
      <w:pStyle w:val="Normal"/>
      <w:widowControl w:val="false"/>
      <w:pBdr/>
      <w:shd w:val="clear" w:fill="auto"/>
      <w:tabs>
        <w:tab w:val="clear" w:pos="720"/>
        <w:tab w:val="center" w:pos="4513" w:leader="none"/>
        <w:tab w:val="right" w:pos="9026" w:leader="none"/>
      </w:tabs>
      <w:spacing w:lineRule="auto" w:line="276" w:before="0" w:after="200"/>
      <w:ind w:left="0" w:right="0" w:hanging="0"/>
      <w:jc w:val="left"/>
      <w:rPr>
        <w:rFonts w:ascii="Calibri" w:hAnsi="Calibri" w:eastAsia="Calibri" w:cs="Calibri"/>
        <w:b w:val="false"/>
        <w:b w:val="false"/>
        <w:i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vertAlign w:val="baseline"/>
      </w:rPr>
    </w:pPr>
    <w:r>
      <w:rPr>
        <w:rFonts w:eastAsia="Calibri" w:cs="Calibri"/>
        <w:b w:val="false"/>
        <w:i w:val="false"/>
        <w:caps w:val="false"/>
        <w:smallCaps w:val="false"/>
        <w:strike w:val="false"/>
        <w:dstrike w:val="false"/>
        <w:color w:val="000000"/>
        <w:position w:val="0"/>
        <w:sz w:val="22"/>
        <w:sz w:val="22"/>
        <w:szCs w:val="22"/>
        <w:u w:val="none"/>
        <w:shd w:fill="auto" w:val="clear"/>
        <w:vertAlign w:val="baseline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sz w:val="22"/>
        <w:szCs w:val="22"/>
        <w:lang w:val="ca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pacing w:lineRule="auto" w:line="276" w:before="0" w:after="200"/>
    </w:pPr>
    <w:rPr>
      <w:rFonts w:ascii="Calibri" w:hAnsi="Calibri" w:eastAsia="Calibri" w:cs="Calibri"/>
      <w:color w:val="auto"/>
      <w:kern w:val="0"/>
      <w:sz w:val="22"/>
      <w:szCs w:val="22"/>
      <w:lang w:val="ca" w:eastAsia="zh-CN" w:bidi="hi-IN"/>
    </w:rPr>
  </w:style>
  <w:style w:type="paragraph" w:styleId="Encapalament1">
    <w:name w:val="Heading 1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480" w:after="120"/>
      <w:jc w:val="left"/>
    </w:pPr>
    <w:rPr>
      <w:rFonts w:ascii="Calibri" w:hAnsi="Calibri" w:eastAsia="Calibri" w:cs="Calibri"/>
      <w:b/>
      <w:color w:val="000000"/>
      <w:sz w:val="48"/>
      <w:szCs w:val="48"/>
    </w:rPr>
  </w:style>
  <w:style w:type="paragraph" w:styleId="Encapalament2">
    <w:name w:val="Heading 2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360" w:after="80"/>
      <w:jc w:val="left"/>
    </w:pPr>
    <w:rPr>
      <w:rFonts w:ascii="Calibri" w:hAnsi="Calibri" w:eastAsia="Calibri" w:cs="Calibri"/>
      <w:b/>
      <w:color w:val="000000"/>
      <w:sz w:val="36"/>
      <w:szCs w:val="36"/>
    </w:rPr>
  </w:style>
  <w:style w:type="paragraph" w:styleId="Encapalament3">
    <w:name w:val="Heading 3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280" w:after="80"/>
      <w:jc w:val="left"/>
    </w:pPr>
    <w:rPr>
      <w:rFonts w:ascii="Calibri" w:hAnsi="Calibri" w:eastAsia="Calibri" w:cs="Calibri"/>
      <w:b/>
      <w:color w:val="000000"/>
      <w:sz w:val="28"/>
      <w:szCs w:val="28"/>
    </w:rPr>
  </w:style>
  <w:style w:type="paragraph" w:styleId="Encapalament4">
    <w:name w:val="Heading 4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240" w:after="40"/>
      <w:jc w:val="left"/>
    </w:pPr>
    <w:rPr>
      <w:rFonts w:ascii="Calibri" w:hAnsi="Calibri" w:eastAsia="Calibri" w:cs="Calibri"/>
      <w:b/>
      <w:color w:val="000000"/>
      <w:sz w:val="24"/>
      <w:szCs w:val="24"/>
    </w:rPr>
  </w:style>
  <w:style w:type="paragraph" w:styleId="Encapalament5">
    <w:name w:val="Heading 5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220" w:after="40"/>
      <w:jc w:val="left"/>
    </w:pPr>
    <w:rPr>
      <w:rFonts w:ascii="Calibri" w:hAnsi="Calibri" w:eastAsia="Calibri" w:cs="Calibri"/>
      <w:b/>
      <w:color w:val="000000"/>
      <w:sz w:val="22"/>
      <w:szCs w:val="22"/>
    </w:rPr>
  </w:style>
  <w:style w:type="paragraph" w:styleId="Encapalament6">
    <w:name w:val="Heading 6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200" w:after="40"/>
      <w:jc w:val="left"/>
    </w:pPr>
    <w:rPr>
      <w:rFonts w:ascii="Calibri" w:hAnsi="Calibri" w:eastAsia="Calibri" w:cs="Calibri"/>
      <w:b/>
      <w:color w:val="000000"/>
      <w:sz w:val="20"/>
      <w:szCs w:val="20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Normal1" w:default="1">
    <w:name w:val="LO-normal"/>
    <w:qFormat/>
    <w:pPr>
      <w:widowControl/>
      <w:bidi w:val="0"/>
      <w:jc w:val="left"/>
    </w:pPr>
    <w:rPr>
      <w:rFonts w:ascii="Calibri" w:hAnsi="Calibri" w:eastAsia="Calibri" w:cs="Calibri"/>
      <w:color w:val="auto"/>
      <w:kern w:val="0"/>
      <w:sz w:val="22"/>
      <w:szCs w:val="22"/>
      <w:lang w:val="ca" w:eastAsia="zh-CN" w:bidi="hi-IN"/>
    </w:rPr>
  </w:style>
  <w:style w:type="paragraph" w:styleId="Ttol">
    <w:name w:val="Title"/>
    <w:basedOn w:val="Normal1"/>
    <w:next w:val="Normal1"/>
    <w:qFormat/>
    <w:pPr>
      <w:keepNext w:val="true"/>
      <w:keepLines/>
      <w:pageBreakBefore w:val="false"/>
      <w:widowControl w:val="false"/>
      <w:spacing w:lineRule="auto" w:line="240" w:before="480" w:after="120"/>
      <w:jc w:val="left"/>
    </w:pPr>
    <w:rPr>
      <w:rFonts w:ascii="Calibri" w:hAnsi="Calibri" w:eastAsia="Calibri" w:cs="Calibri"/>
      <w:b/>
      <w:color w:val="000000"/>
      <w:sz w:val="72"/>
      <w:szCs w:val="72"/>
    </w:rPr>
  </w:style>
  <w:style w:type="paragraph" w:styleId="Subttol">
    <w:name w:val="Subtitle"/>
    <w:basedOn w:val="Normal1"/>
    <w:next w:val="Normal1"/>
    <w:qFormat/>
    <w:pPr>
      <w:keepNext w:val="true"/>
      <w:keepLines/>
      <w:pageBreakBefore w:val="false"/>
      <w:widowControl/>
      <w:pBdr/>
      <w:shd w:val="clear" w:fill="auto"/>
      <w:spacing w:lineRule="auto" w:line="240" w:before="360" w:after="80"/>
      <w:ind w:left="0" w:right="0" w:hanging="0"/>
      <w:jc w:val="left"/>
    </w:pPr>
    <w:rPr>
      <w:rFonts w:ascii="Georgia" w:hAnsi="Georgia" w:eastAsia="Georgia" w:cs="Georgia"/>
      <w:b w:val="false"/>
      <w:i/>
      <w:caps w:val="false"/>
      <w:smallCaps w:val="false"/>
      <w:strike w:val="false"/>
      <w:dstrike w:val="false"/>
      <w:color w:val="666666"/>
      <w:position w:val="0"/>
      <w:sz w:val="48"/>
      <w:sz w:val="48"/>
      <w:szCs w:val="48"/>
      <w:u w:val="none"/>
      <w:shd w:fill="auto" w:val="clear"/>
      <w:vertAlign w:val="baseline"/>
    </w:rPr>
  </w:style>
  <w:style w:type="paragraph" w:styleId="Capalera">
    <w:name w:val="Header"/>
    <w:basedOn w:val="Normal"/>
    <w:pPr/>
    <w:rPr/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LibreOffice/6.1.5.2$Windows_x86 LibreOffice_project/90f8dcf33c87b3705e78202e3df5142b201bd805</Application>
  <Pages>3</Pages>
  <Words>166</Words>
  <Characters>1010</Characters>
  <CharactersWithSpaces>1342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ca-ES</dc:language>
  <cp:lastModifiedBy/>
  <dcterms:modified xsi:type="dcterms:W3CDTF">2025-11-25T13:13:15Z</dcterms:modified>
  <cp:revision>1</cp:revision>
  <dc:subject/>
  <dc:title/>
</cp:coreProperties>
</file>