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activeX/activeX1.xml" ContentType="application/vnd.ms-office.activeX+xml"/>
  <Override PartName="/word/activeX/activeX1.bin" ContentType="application/vnd.ms-office.activeX"/>
  <Override PartName="/word/activeX/_rels/activeX1.xml.rels" ContentType="application/vnd.openxmlformats-package.relationship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2"/>
          <w:szCs w:val="22"/>
          <w:u w:val="single"/>
        </w:rPr>
      </w:pPr>
      <w:r>
        <w:rPr>
          <w:rFonts w:ascii="Noto Sans" w:hAnsi="Noto Sans"/>
          <w:b/>
          <w:bCs/>
          <w:sz w:val="22"/>
          <w:szCs w:val="22"/>
          <w:u w:val="single"/>
        </w:rPr>
      </w:r>
    </w:p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  <w:u w:val="single"/>
        </w:rPr>
      </w:pPr>
      <w:r>
        <w:rPr>
          <w:rFonts w:ascii="Noto Sans" w:hAnsi="Noto Sans"/>
          <w:b/>
          <w:bCs/>
          <w:sz w:val="28"/>
          <w:szCs w:val="28"/>
          <w:u w:val="single"/>
        </w:rPr>
      </w:r>
    </w:p>
    <w:p>
      <w:pPr>
        <w:pStyle w:val="Cosdeltext"/>
        <w:jc w:val="left"/>
        <w:rPr>
          <w:sz w:val="24"/>
          <w:szCs w:val="24"/>
        </w:rPr>
      </w:pPr>
      <w:r>
        <w:rPr>
          <w:rFonts w:ascii="Noto Sans" w:hAnsi="Noto Sans"/>
          <w:b/>
          <w:bCs/>
          <w:sz w:val="28"/>
          <w:szCs w:val="28"/>
          <w:u w:val="single"/>
        </w:rPr>
        <w:t>INSTITUT D’ESTUDIS BALEÀRICS</w:t>
      </w:r>
    </w:p>
    <w:p>
      <w:pPr>
        <w:pStyle w:val="Cosdeltext"/>
        <w:jc w:val="left"/>
        <w:rPr>
          <w:rFonts w:ascii="Noto Sans" w:hAnsi="Noto Sans"/>
          <w:b/>
          <w:b/>
          <w:bCs/>
          <w:sz w:val="24"/>
          <w:szCs w:val="24"/>
          <w:u w:val="single"/>
        </w:rPr>
      </w:pPr>
      <w:r>
        <w:rPr>
          <w:rFonts w:ascii="Noto Sans" w:hAnsi="Noto Sans"/>
          <w:b/>
          <w:bCs/>
          <w:sz w:val="24"/>
          <w:szCs w:val="24"/>
          <w:u w:val="single"/>
        </w:rPr>
        <w:t xml:space="preserve">FIRES, FESTIVALS </w:t>
      </w:r>
      <w:r>
        <w:rPr>
          <w:rFonts w:ascii="Noto Sans" w:hAnsi="Noto Sans"/>
          <w:b/>
          <w:bCs/>
          <w:sz w:val="24"/>
          <w:szCs w:val="24"/>
          <w:u w:val="single"/>
        </w:rPr>
        <w:t xml:space="preserve">I ALTRES ESDEVENIMENTS </w:t>
      </w:r>
      <w:r>
        <w:rPr>
          <w:rFonts w:ascii="Noto Sans" w:hAnsi="Noto Sans"/>
          <w:b/>
          <w:bCs/>
          <w:sz w:val="24"/>
          <w:szCs w:val="24"/>
          <w:u w:val="single"/>
        </w:rPr>
        <w:t>2025</w:t>
      </w:r>
    </w:p>
    <w:p>
      <w:pPr>
        <w:pStyle w:val="Normal"/>
        <w:jc w:val="center"/>
        <w:rPr>
          <w:rFonts w:ascii="Noto Sans" w:hAnsi="Noto Sans"/>
          <w:b/>
          <w:b/>
          <w:bCs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  <w:t>ACREDITACIÓ DELS REQUISITS EXIGITS A LA CONVOCATÒRIA</w:t>
      </w:r>
    </w:p>
    <w:tbl>
      <w:tblPr>
        <w:tblW w:w="14573" w:type="dxa"/>
        <w:jc w:val="left"/>
        <w:tblInd w:w="-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4838"/>
        <w:gridCol w:w="9735"/>
      </w:tblGrid>
      <w:tr>
        <w:trPr/>
        <w:tc>
          <w:tcPr>
            <w:tcW w:w="145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285" w:after="285"/>
              <w:jc w:val="left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 xml:space="preserve">L’activitat objecte de la subvenció ha de tenir com una de les seves finalitats, de manera comprovable, la projecció exterior dels artistes de les Illes Balears. </w:t>
            </w: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 xml:space="preserve">L’esdeveniment havia de complir, com a mínim, </w:t>
            </w:r>
            <w:r>
              <w:rPr>
                <w:rFonts w:ascii="Noto Sans" w:hAnsi="Noto Sans"/>
                <w:b/>
                <w:bCs/>
                <w:i w:val="false"/>
                <w:iCs w:val="false"/>
                <w:color w:val="auto"/>
                <w:sz w:val="22"/>
                <w:szCs w:val="22"/>
                <w:u w:val="single"/>
              </w:rPr>
              <w:t>dos d'aquests requisits</w:t>
            </w:r>
            <w:r>
              <w:rPr>
                <w:rFonts w:ascii="Noto Sans" w:hAnsi="Noto Sans"/>
                <w:b/>
                <w:bCs/>
                <w:i w:val="false"/>
                <w:iCs w:val="false"/>
                <w:color w:val="auto"/>
                <w:sz w:val="22"/>
                <w:szCs w:val="22"/>
                <w:u w:val="none"/>
              </w:rPr>
              <w:t xml:space="preserve">, </w:t>
            </w:r>
            <w:r>
              <w:rPr>
                <w:rFonts w:ascii="Noto Sans" w:hAnsi="Noto Sans"/>
                <w:b/>
                <w:bCs/>
                <w:i w:val="false"/>
                <w:iCs w:val="false"/>
                <w:color w:val="auto"/>
                <w:sz w:val="22"/>
                <w:szCs w:val="22"/>
                <w:u w:val="none"/>
              </w:rPr>
              <w:t>especificau si finalment s’han complit i com.</w:t>
            </w:r>
          </w:p>
        </w:tc>
      </w:tr>
      <w:tr>
        <w:trPr/>
        <w:tc>
          <w:tcPr>
            <w:tcW w:w="4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Participació i activitat professional de programadors, distribuïdors, productors, gestors i mediadors culturals, comissaris, crítics, etc. de fora de les Illes Balears convidats per l'organització en un nombre mínim de 3.</w:t>
            </w:r>
          </w:p>
          <w:p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  <w:p>
            <w:pPr>
              <w:pStyle w:val="Normal"/>
              <w:jc w:val="left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–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z w:val="22"/>
                <w:szCs w:val="22"/>
              </w:rPr>
              <w:t xml:space="preserve">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z w:val="22"/>
                <w:szCs w:val="22"/>
              </w:rPr>
              <w:t>Especificau qui són, la seva procedència, i quina activitat realitzen dins l’esdeveniment.</w:t>
            </w:r>
          </w:p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z w:val="22"/>
                <w:szCs w:val="22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z w:val="22"/>
                <w:szCs w:val="22"/>
              </w:rPr>
              <w:t xml:space="preserve">–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z w:val="22"/>
                <w:szCs w:val="22"/>
              </w:rPr>
              <w:t>Per acreditar el compliment d’aquest requisit, s’han de presentar 3 cartes de compromís de participació signades pels professionals.</w:t>
            </w:r>
          </w:p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z w:val="22"/>
                <w:szCs w:val="22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z w:val="22"/>
                <w:szCs w:val="22"/>
              </w:rPr>
            </w:r>
          </w:p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z w:val="22"/>
                <w:szCs w:val="22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z w:val="22"/>
                <w:szCs w:val="22"/>
              </w:rPr>
            </w:r>
          </w:p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z w:val="22"/>
                <w:szCs w:val="22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z w:val="22"/>
                <w:szCs w:val="22"/>
              </w:rPr>
            </w:r>
          </w:p>
        </w:tc>
        <w:tc>
          <w:tcPr>
            <w:tcW w:w="9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Participació en algun programa d'intercanvi amb altres esdeveniments similars que garanteixin la presència de la producció cultural de les Illes Balears a l'exterior.</w:t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  <w:p>
            <w:pPr>
              <w:pStyle w:val="Normal"/>
              <w:jc w:val="left"/>
              <w:rPr/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z w:val="22"/>
                <w:szCs w:val="22"/>
              </w:rPr>
              <w:t>*</w:t>
            </w:r>
            <w:r>
              <w:rPr>
                <w:rStyle w:val="Fuentedeprrafopredeter"/>
                <w:rFonts w:ascii="Noto Sans" w:hAnsi="Noto Sans"/>
                <w:b w:val="false"/>
                <w:bCs w:val="false"/>
                <w:i w:val="false"/>
                <w:iCs w:val="false"/>
                <w:color w:val="auto"/>
                <w:sz w:val="22"/>
                <w:szCs w:val="22"/>
              </w:rPr>
              <w:t>Per acreditar el compliment d’aquest requisit, s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color w:val="auto"/>
                <w:sz w:val="22"/>
                <w:szCs w:val="22"/>
              </w:rPr>
              <w:t>’han de presentar cartes de compromís o un conveni d’intercanvi amb, com a mínim, un esdeveniment similar de fora de les Illes Balears.</w:t>
            </w:r>
          </w:p>
        </w:tc>
        <w:tc>
          <w:tcPr>
            <w:tcW w:w="9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Organització, dins el programa de l'esdeveniment, de jornades orientades al públic professional, que han de complir els següents requisits:</w:t>
            </w:r>
          </w:p>
          <w:p>
            <w:pPr>
              <w:pStyle w:val="Normal"/>
              <w:numPr>
                <w:ilvl w:val="0"/>
                <w:numId w:val="2"/>
              </w:numPr>
              <w:ind w:left="340" w:right="0" w:hanging="340"/>
              <w:jc w:val="left"/>
              <w:rPr/>
            </w:pPr>
            <w:r>
              <w:rPr>
                <w:rStyle w:val="Fuentedeprrafopredeter"/>
                <w:rFonts w:ascii="Noto Sans" w:hAnsi="Noto Sans"/>
                <w:b w:val="false"/>
                <w:bCs w:val="false"/>
                <w:color w:val="auto"/>
                <w:sz w:val="22"/>
                <w:szCs w:val="22"/>
              </w:rPr>
              <w:t xml:space="preserve">El programa ha de tenir com a mínim </w:t>
            </w:r>
            <w:r>
              <w:rPr>
                <w:rStyle w:val="Fuentedeprrafopredeter"/>
                <w:rFonts w:ascii="Noto Sans" w:hAnsi="Noto Sans"/>
                <w:b/>
                <w:bCs/>
                <w:color w:val="auto"/>
                <w:sz w:val="22"/>
                <w:szCs w:val="22"/>
              </w:rPr>
              <w:t>3</w:t>
            </w:r>
            <w:r>
              <w:rPr>
                <w:rStyle w:val="Fuentedeprrafopredeter"/>
                <w:rFonts w:ascii="Noto Sans" w:hAnsi="Noto Sans"/>
                <w:b w:val="false"/>
                <w:bCs w:val="false"/>
                <w:color w:val="auto"/>
                <w:sz w:val="22"/>
                <w:szCs w:val="22"/>
              </w:rPr>
              <w:t xml:space="preserve"> activitats diferents.</w:t>
            </w:r>
          </w:p>
          <w:p>
            <w:pPr>
              <w:pStyle w:val="Normal"/>
              <w:numPr>
                <w:ilvl w:val="0"/>
                <w:numId w:val="2"/>
              </w:numPr>
              <w:ind w:left="340" w:right="0" w:hanging="340"/>
              <w:jc w:val="left"/>
              <w:rPr/>
            </w:pPr>
            <w:r>
              <w:rPr>
                <w:rStyle w:val="Fuentedeprrafopredeter"/>
                <w:rFonts w:ascii="Noto Sans" w:hAnsi="Noto Sans"/>
                <w:b w:val="false"/>
                <w:bCs w:val="false"/>
                <w:color w:val="auto"/>
                <w:sz w:val="22"/>
                <w:szCs w:val="22"/>
              </w:rPr>
              <w:t xml:space="preserve">Han d’anar dirigides exclusivament a un </w:t>
            </w:r>
            <w:r>
              <w:rPr>
                <w:rStyle w:val="Fuentedeprrafopredeter"/>
                <w:rFonts w:ascii="Noto Sans" w:hAnsi="Noto Sans"/>
                <w:b/>
                <w:bCs/>
                <w:color w:val="auto"/>
                <w:sz w:val="22"/>
                <w:szCs w:val="22"/>
              </w:rPr>
              <w:t xml:space="preserve">públic professional </w:t>
            </w:r>
            <w:r>
              <w:rPr>
                <w:rStyle w:val="Fuentedeprrafopredeter"/>
                <w:rFonts w:ascii="Noto Sans" w:hAnsi="Noto Sans"/>
                <w:b w:val="false"/>
                <w:bCs w:val="false"/>
                <w:color w:val="auto"/>
                <w:sz w:val="22"/>
                <w:szCs w:val="22"/>
              </w:rPr>
              <w:t xml:space="preserve">i han de ser </w:t>
            </w:r>
            <w:r>
              <w:rPr>
                <w:rStyle w:val="Fuentedeprrafopredeter"/>
                <w:rFonts w:ascii="Noto Sans" w:hAnsi="Noto Sans"/>
                <w:b/>
                <w:bCs/>
                <w:color w:val="auto"/>
                <w:sz w:val="22"/>
                <w:szCs w:val="22"/>
              </w:rPr>
              <w:t>obertes</w:t>
            </w:r>
            <w:r>
              <w:rPr>
                <w:rStyle w:val="Fuentedeprrafopredeter"/>
                <w:rFonts w:ascii="Noto Sans" w:hAnsi="Noto Sans"/>
                <w:b w:val="false"/>
                <w:bCs w:val="false"/>
                <w:color w:val="auto"/>
                <w:sz w:val="22"/>
                <w:szCs w:val="22"/>
              </w:rPr>
              <w:t xml:space="preserve"> perquè s’hi puguin inscriure artistes i professionals balears.</w:t>
            </w:r>
          </w:p>
          <w:p>
            <w:pPr>
              <w:pStyle w:val="Normal"/>
              <w:numPr>
                <w:ilvl w:val="0"/>
                <w:numId w:val="2"/>
              </w:numPr>
              <w:ind w:left="340" w:right="0" w:hanging="340"/>
              <w:jc w:val="left"/>
              <w:rPr/>
            </w:pPr>
            <w:r>
              <w:rPr>
                <w:rStyle w:val="Fuentedeprrafopredeter"/>
                <w:rFonts w:ascii="Noto Sans" w:hAnsi="Noto Sans"/>
                <w:b w:val="false"/>
                <w:bCs w:val="false"/>
                <w:color w:val="auto"/>
                <w:sz w:val="22"/>
                <w:szCs w:val="22"/>
              </w:rPr>
              <w:t xml:space="preserve">Se n’ha de donar </w:t>
            </w:r>
            <w:r>
              <w:rPr>
                <w:rStyle w:val="Fuentedeprrafopredeter"/>
                <w:rFonts w:ascii="Noto Sans" w:hAnsi="Noto Sans"/>
                <w:b/>
                <w:bCs/>
                <w:color w:val="auto"/>
                <w:sz w:val="22"/>
                <w:szCs w:val="22"/>
              </w:rPr>
              <w:t>publicitat</w:t>
            </w:r>
            <w:r>
              <w:rPr>
                <w:rStyle w:val="Fuentedeprrafopredeter"/>
                <w:rFonts w:ascii="Noto Sans" w:hAnsi="Noto Sans"/>
                <w:b w:val="false"/>
                <w:bCs w:val="false"/>
                <w:color w:val="auto"/>
                <w:sz w:val="22"/>
                <w:szCs w:val="22"/>
              </w:rPr>
              <w:t xml:space="preserve"> i ha d’aparèixer la informació a la pàgina web de l’esdeveniment.</w:t>
            </w:r>
          </w:p>
          <w:p>
            <w:pPr>
              <w:pStyle w:val="Normal"/>
              <w:numPr>
                <w:ilvl w:val="0"/>
                <w:numId w:val="2"/>
              </w:numPr>
              <w:ind w:left="340" w:right="0" w:hanging="340"/>
              <w:jc w:val="left"/>
              <w:rPr/>
            </w:pPr>
            <w:r>
              <w:rPr>
                <w:rStyle w:val="Fuentedeprrafopredeter"/>
                <w:rFonts w:ascii="Noto Sans" w:hAnsi="Noto Sans"/>
                <w:b w:val="false"/>
                <w:bCs w:val="false"/>
                <w:color w:val="auto"/>
                <w:sz w:val="22"/>
                <w:szCs w:val="22"/>
              </w:rPr>
              <w:t xml:space="preserve">Hi han de participar </w:t>
            </w:r>
            <w:r>
              <w:rPr>
                <w:rStyle w:val="Fuentedeprrafopredeter"/>
                <w:rFonts w:ascii="Noto Sans" w:hAnsi="Noto Sans"/>
                <w:b/>
                <w:bCs/>
                <w:color w:val="auto"/>
                <w:sz w:val="22"/>
                <w:szCs w:val="22"/>
              </w:rPr>
              <w:t xml:space="preserve">professionals de fora </w:t>
            </w:r>
            <w:r>
              <w:rPr>
                <w:rStyle w:val="Fuentedeprrafopredeter"/>
                <w:rFonts w:ascii="Noto Sans" w:hAnsi="Noto Sans"/>
                <w:b w:val="false"/>
                <w:bCs w:val="false"/>
                <w:color w:val="auto"/>
                <w:sz w:val="22"/>
                <w:szCs w:val="22"/>
              </w:rPr>
              <w:t>i artistes de les Balears, han de ser obertes al públic professional balear.</w:t>
            </w: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  <w:highlight w:val="white"/>
              </w:rPr>
              <w:t xml:space="preserve"> </w:t>
            </w:r>
          </w:p>
        </w:tc>
        <w:tc>
          <w:tcPr>
            <w:tcW w:w="9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>
          <w:trHeight w:val="1525" w:hRule="atLeast"/>
        </w:trPr>
        <w:tc>
          <w:tcPr>
            <w:tcW w:w="145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E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ls esdeveniments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havien de programar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, com a mínim, un 30 % d'artistes i agents culturals de les Illes Balears, que aquests professionals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fossin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 remunerats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i que tenguessin presència la comunicació de l’esdeveniment i al cartell principal. </w:t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*En el cas d’esdeveniments de l’àmbit audiovisual, ha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vien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 de tenir programada almenys dues obres de les Illes Balears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remunerades i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garantir la presència de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mínim 3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professionals balears del sector audiovisual dins el marc de les activitats professionals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i que aquests professionals fossin remunerats.</w:t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*En el cas d'esdeveniments de la modalitat de Cicles de concerts d'orquestres professionals i temporada lírica, a més, ha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vien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 de tenir un mínim de 7 concerts,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i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 almenys 3 programes diferents.</w:t>
            </w:r>
          </w:p>
        </w:tc>
      </w:tr>
      <w:tr>
        <w:trPr/>
        <w:tc>
          <w:tcPr>
            <w:tcW w:w="4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Programació completa de l'esdeveniment especificant quins artistes són de les Illes Balears i quins són de fora</w:t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</w:tc>
        <w:tc>
          <w:tcPr>
            <w:tcW w:w="97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145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285" w:after="285"/>
              <w:jc w:val="left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*No són objecte d’aquesta convocatòria i, per tant, en queden exclosos:</w:t>
            </w:r>
          </w:p>
        </w:tc>
      </w:tr>
      <w:tr>
        <w:trPr/>
        <w:tc>
          <w:tcPr>
            <w:tcW w:w="145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tabs>
                <w:tab w:val="clear" w:pos="936"/>
                <w:tab w:val="left" w:pos="-338" w:leader="none"/>
              </w:tabs>
              <w:spacing w:lineRule="auto" w:line="2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  <w:lang w:val="ca-ES" w:eastAsia="zh-CN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  <w:lang w:val="ca-ES" w:eastAsia="zh-CN"/>
              </w:rPr>
              <w:t>Els esdeveniments que es duguin a terme per primera vegada o els que no s’hagin acomplert un mínim de 3 vegades en els darrers 5 anys.</w:t>
            </w:r>
          </w:p>
          <w:p>
            <w:pPr>
              <w:pStyle w:val="Normal"/>
              <w:numPr>
                <w:ilvl w:val="0"/>
                <w:numId w:val="3"/>
              </w:numPr>
              <w:tabs>
                <w:tab w:val="clear" w:pos="936"/>
                <w:tab w:val="left" w:pos="-338" w:leader="none"/>
              </w:tabs>
              <w:spacing w:lineRule="auto" w:line="2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  <w:lang w:val="ca-ES" w:eastAsia="zh-CN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  <w:lang w:val="ca-ES" w:eastAsia="zh-CN"/>
              </w:rPr>
              <w:t>Els cicles de concerts d’un mateix artista o grup musical i les temporades teatrals d’un sol artista.</w:t>
            </w:r>
          </w:p>
          <w:p>
            <w:pPr>
              <w:pStyle w:val="Normal"/>
              <w:numPr>
                <w:ilvl w:val="0"/>
                <w:numId w:val="3"/>
              </w:numPr>
              <w:tabs>
                <w:tab w:val="clear" w:pos="936"/>
                <w:tab w:val="left" w:pos="-338" w:leader="none"/>
              </w:tabs>
              <w:spacing w:lineRule="auto" w:line="2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  <w:lang w:val="ca-ES" w:eastAsia="zh-CN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  <w:lang w:val="ca-ES" w:eastAsia="zh-CN"/>
              </w:rPr>
              <w:t>Les programacions estables d’un espai d’exhibició.</w:t>
            </w:r>
          </w:p>
          <w:p>
            <w:pPr>
              <w:pStyle w:val="Normal"/>
              <w:numPr>
                <w:ilvl w:val="0"/>
                <w:numId w:val="3"/>
              </w:numPr>
              <w:tabs>
                <w:tab w:val="clear" w:pos="936"/>
                <w:tab w:val="left" w:pos="-338" w:leader="none"/>
              </w:tabs>
              <w:spacing w:lineRule="auto" w:line="2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  <w:lang w:val="ca-ES" w:eastAsia="zh-CN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  <w:lang w:val="ca-ES" w:eastAsia="zh-CN"/>
              </w:rPr>
              <w:t>Les programacions i els esdeveniments que durin tot l’any.</w:t>
            </w:r>
          </w:p>
          <w:p>
            <w:pPr>
              <w:pStyle w:val="Normal"/>
              <w:numPr>
                <w:ilvl w:val="0"/>
                <w:numId w:val="3"/>
              </w:numPr>
              <w:tabs>
                <w:tab w:val="clear" w:pos="936"/>
                <w:tab w:val="left" w:pos="-338" w:leader="none"/>
              </w:tabs>
              <w:spacing w:lineRule="auto" w:line="2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  <w:lang w:val="ca-ES" w:eastAsia="zh-CN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  <w:lang w:val="ca-ES" w:eastAsia="zh-CN"/>
              </w:rPr>
              <w:t>Les activitats de clubs esportius.</w:t>
            </w:r>
          </w:p>
          <w:p>
            <w:pPr>
              <w:pStyle w:val="Normal"/>
              <w:numPr>
                <w:ilvl w:val="0"/>
                <w:numId w:val="3"/>
              </w:numPr>
              <w:tabs>
                <w:tab w:val="clear" w:pos="936"/>
                <w:tab w:val="left" w:pos="-338" w:leader="none"/>
              </w:tabs>
              <w:spacing w:lineRule="auto" w:line="2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  <w:lang w:val="ca-ES" w:eastAsia="zh-CN"/>
              </w:rPr>
            </w:pPr>
            <w:r>
              <w:rPr>
                <w:rFonts w:ascii="Noto Sans" w:hAnsi="Noto Sans"/>
                <w:b w:val="false"/>
                <w:bCs w:val="false"/>
                <w:color w:val="000000"/>
                <w:sz w:val="22"/>
                <w:szCs w:val="22"/>
                <w:lang w:val="ca-ES" w:eastAsia="zh-CN"/>
              </w:rPr>
              <w:t>No es poden subvencionar projectes que vulnerin els drets dels col·lectius LGTBI, els drets de les dones o els drets humans.</w:t>
            </w:r>
          </w:p>
          <w:p>
            <w:pPr>
              <w:pStyle w:val="Normal"/>
              <w:tabs>
                <w:tab w:val="clear" w:pos="936"/>
                <w:tab w:val="left" w:pos="-338" w:leader="none"/>
              </w:tabs>
              <w:spacing w:lineRule="auto" w:line="240"/>
              <w:ind w:left="720" w:right="0" w:hanging="0"/>
              <w:rPr>
                <w:rFonts w:ascii="Noto Sans" w:hAnsi="Noto Sans"/>
                <w:sz w:val="22"/>
                <w:szCs w:val="22"/>
                <w:lang w:val="ca-ES" w:eastAsia="zh-CN"/>
              </w:rPr>
            </w:pPr>
            <w:r>
              <w:rPr>
                <w:rFonts w:ascii="Noto Sans" w:hAnsi="Noto Sans"/>
                <w:sz w:val="22"/>
                <w:szCs w:val="22"/>
                <w:lang w:val="ca-ES" w:eastAsia="zh-CN"/>
              </w:rPr>
            </w:r>
          </w:p>
          <w:p>
            <w:pPr>
              <w:pStyle w:val="Normal"/>
              <w:widowControl/>
              <w:tabs>
                <w:tab w:val="clear" w:pos="936"/>
                <w:tab w:val="left" w:pos="570" w:leader="none"/>
              </w:tabs>
              <w:overflowPunct w:val="false"/>
              <w:bidi w:val="0"/>
              <w:spacing w:lineRule="auto" w:line="240" w:before="0" w:after="0"/>
              <w:ind w:left="794" w:right="0" w:hanging="0"/>
              <w:jc w:val="left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  <w:object>
                <v:shapetype id="shapetype_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control_shape_0" style="width:7.5pt;height:7.25pt" type="#shapetype_75"/>
                <w:control r:id="rId2" w:name="mallorca" w:shapeid="control_shape_0"/>
              </w:object>
            </w:r>
            <w:r>
              <w:rPr>
                <w:rFonts w:eastAsia="NSimSun" w:cs="Arial" w:ascii="Noto Sans" w:hAnsi="Noto Sans"/>
                <w:b/>
                <w:bCs/>
                <w:color w:val="000000"/>
                <w:kern w:val="2"/>
                <w:sz w:val="22"/>
                <w:szCs w:val="22"/>
                <w:lang w:val="ca-ES" w:eastAsia="zh-CN" w:bidi="ar-SA"/>
              </w:rPr>
              <w:t xml:space="preserve"> </w:t>
            </w:r>
            <w:r>
              <w:rPr>
                <w:rFonts w:eastAsia="NSimSun" w:cs="Arial" w:ascii="Noto Sans" w:hAnsi="Noto Sans"/>
                <w:b/>
                <w:bCs/>
                <w:color w:val="000000"/>
                <w:kern w:val="2"/>
                <w:sz w:val="22"/>
                <w:szCs w:val="22"/>
                <w:lang w:val="ca-ES" w:eastAsia="zh-CN"/>
              </w:rPr>
              <w:t>Declar que l’esdeveniment objecte de subvenció no entra dins aquestes exclusions.</w:t>
            </w:r>
          </w:p>
        </w:tc>
      </w:tr>
    </w:tbl>
    <w:p>
      <w:pPr>
        <w:pStyle w:val="Cosdeltext"/>
        <w:jc w:val="center"/>
        <w:rPr>
          <w:rFonts w:ascii="Noto Sans" w:hAnsi="Noto Sans"/>
          <w:b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</w:r>
      <w:r>
        <w:br w:type="page"/>
      </w:r>
    </w:p>
    <w:p>
      <w:pPr>
        <w:pStyle w:val="Cosdeltext"/>
        <w:jc w:val="center"/>
        <w:rPr>
          <w:rFonts w:ascii="Noto Sans" w:hAnsi="Noto Sans"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  <w:t>MEMÒRIA D’</w:t>
      </w:r>
      <w:r>
        <w:rPr>
          <w:rFonts w:ascii="Noto Sans" w:hAnsi="Noto Sans"/>
          <w:b/>
          <w:bCs/>
          <w:sz w:val="24"/>
          <w:szCs w:val="24"/>
        </w:rPr>
        <w:t>ACTUACIÓ JUSTIFICATIVA</w:t>
      </w:r>
    </w:p>
    <w:tbl>
      <w:tblPr>
        <w:tblW w:w="14564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14564"/>
      </w:tblGrid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OBJECTIUS GENERALS DEL PROJECTE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(Especifica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u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 si s’han complit els objectius que s’havien establert a la memòria descriptiva de l’esdeveniment)</w:t>
            </w:r>
          </w:p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76" w:before="0" w:after="0"/>
        <w:ind w:left="0" w:right="0" w:hanging="0"/>
        <w:rPr>
          <w:rFonts w:ascii="Noto Sans" w:hAnsi="Noto Sans" w:eastAsia="Times New Roman"/>
          <w:b/>
          <w:b/>
          <w:bCs/>
          <w:color w:val="auto"/>
          <w:sz w:val="22"/>
          <w:szCs w:val="22"/>
          <w:lang w:val="ca-ES" w:eastAsia="es-ES"/>
        </w:rPr>
      </w:pPr>
      <w:r>
        <w:rPr>
          <w:rFonts w:eastAsia="Times New Roman" w:ascii="Noto Sans" w:hAnsi="Noto Sans"/>
          <w:b/>
          <w:bCs/>
          <w:color w:val="auto"/>
          <w:sz w:val="22"/>
          <w:szCs w:val="22"/>
          <w:lang w:val="ca-ES" w:eastAsia="es-ES"/>
        </w:rPr>
      </w:r>
    </w:p>
    <w:p>
      <w:pPr>
        <w:pStyle w:val="Normal"/>
        <w:spacing w:lineRule="auto" w:line="276" w:before="0" w:after="0"/>
        <w:ind w:left="0" w:right="0" w:hanging="0"/>
        <w:rPr>
          <w:rFonts w:ascii="Noto Sans" w:hAnsi="Noto Sans"/>
          <w:sz w:val="22"/>
          <w:szCs w:val="22"/>
        </w:rPr>
      </w:pPr>
      <w:r>
        <w:rPr>
          <w:rFonts w:eastAsia="Times New Roman" w:ascii="Noto Sans" w:hAnsi="Noto Sans"/>
          <w:b/>
          <w:bCs/>
          <w:color w:val="auto"/>
          <w:sz w:val="22"/>
          <w:szCs w:val="22"/>
          <w:lang w:val="ca-ES" w:eastAsia="es-ES"/>
        </w:rPr>
        <w:t>12.1.</w:t>
      </w:r>
      <w:r>
        <w:rPr>
          <w:rFonts w:eastAsia="Times New Roman" w:ascii="Noto Sans" w:hAnsi="Noto Sans"/>
          <w:b/>
          <w:bCs/>
          <w:i/>
          <w:iCs/>
          <w:color w:val="auto"/>
          <w:sz w:val="22"/>
          <w:szCs w:val="22"/>
          <w:lang w:val="ca-ES" w:eastAsia="es-ES"/>
        </w:rPr>
        <w:t>a)</w:t>
      </w:r>
      <w:r>
        <w:rPr>
          <w:rFonts w:eastAsia="Times New Roman" w:ascii="Noto Sans" w:hAnsi="Noto Sans"/>
          <w:b/>
          <w:bCs/>
          <w:color w:val="auto"/>
          <w:sz w:val="22"/>
          <w:szCs w:val="22"/>
          <w:lang w:val="ca-ES" w:eastAsia="es-ES"/>
        </w:rPr>
        <w:t xml:space="preserve"> Valoració general del projecte (fins a 65 punts)</w:t>
      </w:r>
    </w:p>
    <w:tbl>
      <w:tblPr>
        <w:tblW w:w="14564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3859"/>
        <w:gridCol w:w="10705"/>
      </w:tblGrid>
      <w:tr>
        <w:trPr/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PROGRAMACIÓ GENERAL</w:t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57" w:after="57"/>
              <w:ind w:left="0" w:right="0" w:hanging="0"/>
              <w:jc w:val="left"/>
              <w:rPr>
                <w:rFonts w:ascii="Noto Sans" w:hAnsi="Noto Sans"/>
                <w:b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>Indicau la p</w:t>
            </w: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 xml:space="preserve">rogramació completa de l'esdeveniment, </w:t>
            </w: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>o afegiu un enllaç on es pugui consultar.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38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57" w:after="57"/>
              <w:ind w:left="0" w:right="0" w:hanging="0"/>
              <w:jc w:val="left"/>
              <w:rPr>
                <w:rFonts w:ascii="Noto Sans" w:hAnsi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>Indicau si l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 xml:space="preserve">a programació oficial 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 xml:space="preserve">va 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>combina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>r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 xml:space="preserve"> artistes de més d'una illa.</w:t>
            </w:r>
          </w:p>
        </w:tc>
        <w:tc>
          <w:tcPr>
            <w:tcW w:w="107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>
          <w:trHeight w:val="120" w:hRule="atLeast"/>
        </w:trPr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57" w:after="57"/>
              <w:ind w:left="0" w:right="0" w:hanging="0"/>
              <w:jc w:val="left"/>
              <w:rPr>
                <w:rFonts w:ascii="Noto Sans" w:hAnsi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>Indicau si es va incloure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 xml:space="preserve"> programació internacional.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>
          <w:trHeight w:val="120" w:hRule="atLeast"/>
        </w:trPr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57" w:after="57"/>
              <w:ind w:left="0" w:right="0" w:hanging="0"/>
              <w:jc w:val="left"/>
              <w:rPr>
                <w:rFonts w:ascii="Noto Sans" w:hAnsi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 xml:space="preserve">Indicau si la 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 xml:space="preserve">programació 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 xml:space="preserve">va 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>combina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>r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 xml:space="preserve"> artistes emergents i consolidats. 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>
          <w:trHeight w:val="120" w:hRule="atLeast"/>
        </w:trPr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57" w:after="57"/>
              <w:ind w:left="0" w:right="0" w:hanging="0"/>
              <w:jc w:val="left"/>
              <w:rPr>
                <w:rFonts w:ascii="Noto Sans" w:hAnsi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 xml:space="preserve">Indicau com es va 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>fomenta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>r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 xml:space="preserve"> la professionalització dels artistes balears contractats.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PROGRAMA PROFESSIONAL</w:t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Adjuntau la l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lista d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efinitiva d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els professionals acreditats assistents (programadors, distribuïdors, productors, gestors i mediadors culturals, comissaris, crítics, etc.).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Adjuntau el programa definitiu de les jornades professionals </w:t>
            </w:r>
            <w:r>
              <w:rPr>
                <w:rFonts w:ascii="Noto Sans" w:hAnsi="Noto Sans"/>
                <w:b/>
                <w:bCs/>
                <w:color w:val="auto"/>
                <w:sz w:val="22"/>
                <w:szCs w:val="22"/>
              </w:rPr>
              <w:t>o afegiu un enllaç on es pugui consultar.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POTENCIAL DE PROJECCIÓ EXTERIOR</w:t>
            </w:r>
          </w:p>
        </w:tc>
      </w:tr>
      <w:tr>
        <w:trPr>
          <w:trHeight w:val="4207" w:hRule="atLeast"/>
        </w:trPr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57" w:after="57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>Indicau si s’ha aconseguit la projecció exterior que s’havia establert a la memòria: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57" w:after="57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57" w:after="57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 xml:space="preserve">Com ha 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 xml:space="preserve">funcionat el pla de difusió, 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  <w:t>si hi ha hagut repercussió nacional o internacional, com s’ha assolit la projecció exterior dels artistes balears, si s’ha aconseguit crear més audiència que en edicions anteriors, etc.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57" w:after="57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2"/>
                <w:szCs w:val="22"/>
              </w:rPr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</w:tbl>
    <w:p>
      <w:pPr>
        <w:pStyle w:val="Cosdeltext"/>
        <w:rPr>
          <w:rFonts w:ascii="Noto Sans" w:hAnsi="Noto Sans"/>
          <w:b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</w:r>
    </w:p>
    <w:p>
      <w:pPr>
        <w:pStyle w:val="Cosdeltext"/>
        <w:rPr>
          <w:rFonts w:ascii="Noto Sans" w:hAnsi="Noto Sans"/>
          <w:b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12.1.b) Sostenibilitat</w:t>
      </w:r>
    </w:p>
    <w:tbl>
      <w:tblPr>
        <w:tblW w:w="14564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3859"/>
        <w:gridCol w:w="10705"/>
      </w:tblGrid>
      <w:tr>
        <w:trPr/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SOSTENIBILITAT ECONÒMICA</w:t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Indicau si l’esdeveniment és econòmicament sostenible, si hi ha hagut un augment en els ingressos en relació amb edicions anteriors, patrocinis privats, etc.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SOSTENIBILITAT AMBIENTAL</w:t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Indicau quines a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ccions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s’han dut a terme per afavorir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la reducció de la petjada ecològica de l’esdeveniment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SOSTENIBILITAT SOCIAL</w:t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Indicau si finalment s’han inclòs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 aspectes i/o temàtiques relacionades amb la perspectiva de gènere o la comunitat LGTBQI+.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Indicau quines accions s’han dut a terme per afavorir e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l foment de l’accessibilitat.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Indicau quines accions s’han dut a terme per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foment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ar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 la diversitat/interculturalitat dins l’esdeveniment: inclusió de persones racialitzades, persones en risc d’exclusió social...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Indicau si teníeu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 un pla d’Igualtat i/o protocol de prevenció i actuació contra l’assetjament sexual i per raó de gènere,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i si ha funcionat correctament</w:t>
            </w:r>
            <w:r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.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i w:val="false"/>
                <w:strike w:val="false"/>
                <w:dstrike w:val="false"/>
                <w:outline w:val="false"/>
                <w:shadow w:val="false"/>
                <w:color w:val="auto"/>
                <w:spacing w:val="0"/>
                <w:kern w:val="2"/>
                <w:sz w:val="22"/>
                <w:szCs w:val="22"/>
                <w:u w:val="none"/>
                <w:em w:val="none"/>
              </w:rPr>
              <w:t xml:space="preserve">Indicau la presència de </w:t>
            </w:r>
            <w:r>
              <w:rPr>
                <w:rFonts w:ascii="Noto Sans" w:hAnsi="Noto Sans"/>
                <w:b/>
                <w:bCs/>
                <w:i w:val="false"/>
                <w:strike w:val="false"/>
                <w:dstrike w:val="false"/>
                <w:outline w:val="false"/>
                <w:shadow w:val="false"/>
                <w:color w:val="auto"/>
                <w:spacing w:val="0"/>
                <w:kern w:val="2"/>
                <w:sz w:val="22"/>
                <w:szCs w:val="22"/>
                <w:u w:val="none"/>
                <w:em w:val="none"/>
              </w:rPr>
              <w:t>dones en la programació i en llocs de responsabilitat, de presa de decisions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SOSTENIBILITAT LINGÜÍSTICA</w:t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Indicau si s’ha usat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 la llengua catalana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durant l’esdeveniment i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en  els canals de difusió i comunicació de l'esdeveniment: notes de premsa, anuncis, xarxes socials.</w:t>
            </w:r>
          </w:p>
          <w:p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(Adjuntau exemples: vídeos, anuncis, cartells, etc.)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</w:tbl>
    <w:p>
      <w:pPr>
        <w:pStyle w:val="Cosdeltext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</w:p>
    <w:p>
      <w:pPr>
        <w:pStyle w:val="Cosdeltext"/>
        <w:rPr>
          <w:rFonts w:ascii="Noto Sans" w:hAnsi="Noto Sans"/>
          <w:b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12.1.c) Puntuació addicional (fins a 15 punts)</w:t>
      </w:r>
    </w:p>
    <w:tbl>
      <w:tblPr>
        <w:tblW w:w="14564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3859"/>
        <w:gridCol w:w="10705"/>
      </w:tblGrid>
      <w:tr>
        <w:trPr/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CREACIÓ / FIRA B!</w:t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Indicau si finalment l’esdeveniment ha inclòs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alguna obra beneficiària de les convocatòries de  d'ajudes de l'Institut d'Estudis Baleàrics per donar suport a la creació o algun dels artistes participants a Fira B! 2023 i 2024.</w:t>
            </w:r>
          </w:p>
          <w:p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  <w:p>
            <w:pPr>
              <w:pStyle w:val="Normal"/>
              <w:jc w:val="right"/>
              <w:rPr/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*Podeu consultar el web de l’IEB per conèixer els beneficiaris i </w:t>
            </w:r>
            <w:hyperlink r:id="rId3">
              <w:r>
                <w:rPr>
                  <w:rStyle w:val="EnlladInternet"/>
                  <w:rFonts w:ascii="Noto Sans" w:hAnsi="Noto Sans"/>
                  <w:b/>
                  <w:bCs/>
                  <w:sz w:val="22"/>
                  <w:szCs w:val="22"/>
                </w:rPr>
                <w:t>al web  de Fira B!</w:t>
              </w:r>
            </w:hyperlink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FORMENTERA</w:t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Indicau si finalment l’esdeveniment ha inclòs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accions fetes per creadors, entitats o col·lectius naturals o residents a Formentera.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jc w:val="center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EFEMÈRIDES I COMMEMORACIONS</w:t>
            </w:r>
          </w:p>
        </w:tc>
      </w:tr>
      <w:tr>
        <w:trPr/>
        <w:tc>
          <w:tcPr>
            <w:tcW w:w="3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Indicau si finalment l’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esdeveniment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ha inclòs 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alguna activitat relacionada amb l’any Llompart, la commemoració de l’edició del llibre </w:t>
            </w:r>
            <w:r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Te deix, amor, la mar com a penyora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 xml:space="preserve"> o el centenari de la mort d’Antoni Maura.</w:t>
            </w:r>
          </w:p>
        </w:tc>
        <w:tc>
          <w:tcPr>
            <w:tcW w:w="10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</w:p>
    <w:sectPr>
      <w:headerReference w:type="default" r:id="rId4"/>
      <w:headerReference w:type="first" r:id="rId5"/>
      <w:type w:val="nextPage"/>
      <w:pgSz w:orient="landscape" w:w="16838" w:h="11906"/>
      <w:pgMar w:left="1134" w:right="1134" w:header="1134" w:top="1693" w:footer="0" w:bottom="1134" w:gutter="0"/>
      <w:pgNumType w:fmt="decimal"/>
      <w:formProt w:val="false"/>
      <w:titlePg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erif">
    <w:altName w:val="Times New Roman"/>
    <w:charset w:val="00"/>
    <w:family w:val="swiss"/>
    <w:pitch w:val="default"/>
  </w:font>
  <w:font w:name="Noto Sans">
    <w:charset w:val="00"/>
    <w:family w:val="swiss"/>
    <w:pitch w:val="default"/>
  </w:font>
  <w:font w:name="OpenSymbol">
    <w:altName w:val="Arial Unicode MS"/>
    <w:charset w:val="00"/>
    <w:family w:val="swiss"/>
    <w:pitch w:val="default"/>
  </w:font>
  <w:font w:name="Liberation Sans">
    <w:altName w:val="Arial"/>
    <w:charset w:val="00"/>
    <w:family w:val="swiss"/>
    <w:pitch w:val="default"/>
  </w:font>
  <w:font w:name="LegacySanITCBoo">
    <w:charset w:val="00"/>
    <w:family w:val="swiss"/>
    <w:pitch w:val="default"/>
  </w:font>
  <w:font w:name="Noto Sans">
    <w:charset w:val="01"/>
    <w:family w:val="swiss"/>
    <w:pitch w:val="variable"/>
  </w:font>
  <w:font w:name="OpenSymbol">
    <w:altName w:val="Arial Unicode MS"/>
    <w:charset w:val="01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anchor behindDoc="1" distT="0" distB="0" distL="114300" distR="114300" simplePos="0" locked="0" layoutInCell="1" allowOverlap="1" relativeHeight="9">
          <wp:simplePos x="0" y="0"/>
          <wp:positionH relativeFrom="column">
            <wp:posOffset>-300990</wp:posOffset>
          </wp:positionH>
          <wp:positionV relativeFrom="paragraph">
            <wp:posOffset>-523240</wp:posOffset>
          </wp:positionV>
          <wp:extent cx="560705" cy="792480"/>
          <wp:effectExtent l="0" t="0" r="0" b="0"/>
          <wp:wrapNone/>
          <wp:docPr id="1" name="Imatge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anchor behindDoc="1" distT="0" distB="0" distL="0" distR="0" simplePos="0" locked="0" layoutInCell="1" allowOverlap="1" relativeHeight="2">
          <wp:simplePos x="0" y="0"/>
          <wp:positionH relativeFrom="column">
            <wp:posOffset>-120015</wp:posOffset>
          </wp:positionH>
          <wp:positionV relativeFrom="paragraph">
            <wp:posOffset>635</wp:posOffset>
          </wp:positionV>
          <wp:extent cx="2419985" cy="694690"/>
          <wp:effectExtent l="0" t="0" r="0" b="0"/>
          <wp:wrapSquare wrapText="largest"/>
          <wp:docPr id="2" name="Imatge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419985" cy="6946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cs="Symbol" w:hint="default"/>
        <w:sz w:val="20"/>
        <w:b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rFonts w:cs="OpenSymbol"/>
      </w:r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b w:val="false"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rFonts w:cs="OpenSymbol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936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0"/>
        <w:szCs w:val="24"/>
        <w:lang w:val="ca-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paragraph" w:styleId="Encapalament3">
    <w:name w:val="Heading 3"/>
    <w:basedOn w:val="Encapalament"/>
    <w:next w:val="Cosdeltext"/>
    <w:qFormat/>
    <w:pPr>
      <w:numPr>
        <w:ilvl w:val="0"/>
        <w:numId w:val="0"/>
      </w:numPr>
      <w:spacing w:before="140" w:after="120"/>
      <w:outlineLvl w:val="2"/>
    </w:pPr>
    <w:rPr>
      <w:rFonts w:ascii="Liberation Serif" w:hAnsi="Liberation Serif" w:eastAsia="NSimSun" w:cs="Arial"/>
      <w:b/>
      <w:bCs/>
      <w:sz w:val="28"/>
      <w:szCs w:val="28"/>
    </w:rPr>
  </w:style>
  <w:style w:type="character" w:styleId="Mfasifort">
    <w:name w:val="Èmfasi fort"/>
    <w:qFormat/>
    <w:rPr>
      <w:b/>
      <w:bCs/>
    </w:rPr>
  </w:style>
  <w:style w:type="character" w:styleId="Carctersdenotaalpeu">
    <w:name w:val="Caràcters de nota al peu"/>
    <w:qFormat/>
    <w:rPr/>
  </w:style>
  <w:style w:type="character" w:styleId="Ncoradenotaalpeu">
    <w:name w:val="Àncora de nota al peu"/>
    <w:rPr>
      <w:vertAlign w:val="superscript"/>
    </w:rPr>
  </w:style>
  <w:style w:type="character" w:styleId="EnlladInternet">
    <w:name w:val="Enllaç d'Internet"/>
    <w:rPr>
      <w:color w:val="000080"/>
      <w:u w:val="single"/>
      <w:lang w:val="zxx" w:eastAsia="zxx" w:bidi="zxx"/>
    </w:rPr>
  </w:style>
  <w:style w:type="character" w:styleId="ListLabel10">
    <w:name w:val="ListLabel 10"/>
    <w:qFormat/>
    <w:rPr>
      <w:rFonts w:ascii="Noto Sans" w:hAnsi="Noto Sans"/>
      <w:u w:val="none"/>
    </w:rPr>
  </w:style>
  <w:style w:type="character" w:styleId="ListLabel11">
    <w:name w:val="ListLabel 11"/>
    <w:qFormat/>
    <w:rPr>
      <w:u w:val="none"/>
    </w:rPr>
  </w:style>
  <w:style w:type="character" w:styleId="ListLabel12">
    <w:name w:val="ListLabel 12"/>
    <w:qFormat/>
    <w:rPr>
      <w:u w:val="none"/>
    </w:rPr>
  </w:style>
  <w:style w:type="character" w:styleId="ListLabel13">
    <w:name w:val="ListLabel 13"/>
    <w:qFormat/>
    <w:rPr>
      <w:u w:val="none"/>
    </w:rPr>
  </w:style>
  <w:style w:type="character" w:styleId="ListLabel14">
    <w:name w:val="ListLabel 14"/>
    <w:qFormat/>
    <w:rPr>
      <w:u w:val="none"/>
    </w:rPr>
  </w:style>
  <w:style w:type="character" w:styleId="ListLabel15">
    <w:name w:val="ListLabel 15"/>
    <w:qFormat/>
    <w:rPr>
      <w:u w:val="none"/>
    </w:rPr>
  </w:style>
  <w:style w:type="character" w:styleId="ListLabel16">
    <w:name w:val="ListLabel 16"/>
    <w:qFormat/>
    <w:rPr>
      <w:u w:val="none"/>
    </w:rPr>
  </w:style>
  <w:style w:type="character" w:styleId="ListLabel17">
    <w:name w:val="ListLabel 17"/>
    <w:qFormat/>
    <w:rPr>
      <w:u w:val="none"/>
    </w:rPr>
  </w:style>
  <w:style w:type="character" w:styleId="ListLabel18">
    <w:name w:val="ListLabel 18"/>
    <w:qFormat/>
    <w:rPr>
      <w:u w:val="none"/>
    </w:rPr>
  </w:style>
  <w:style w:type="character" w:styleId="Fuentedeprrafopredeter">
    <w:name w:val="Fuente de párrafo predeter."/>
    <w:qFormat/>
    <w:rPr/>
  </w:style>
  <w:style w:type="character" w:styleId="ListLabel266">
    <w:name w:val="ListLabel 266"/>
    <w:qFormat/>
    <w:rPr>
      <w:b w:val="false"/>
      <w:bCs w:val="false"/>
      <w:i w:val="false"/>
      <w:iCs/>
    </w:rPr>
  </w:style>
  <w:style w:type="character" w:styleId="ListLabel267">
    <w:name w:val="ListLabel 267"/>
    <w:qFormat/>
    <w:rPr>
      <w:rFonts w:ascii="Noto Sans" w:hAnsi="Noto Sans" w:cs="OpenSymbol"/>
      <w:sz w:val="22"/>
    </w:rPr>
  </w:style>
  <w:style w:type="character" w:styleId="ListLabel268">
    <w:name w:val="ListLabel 268"/>
    <w:qFormat/>
    <w:rPr>
      <w:rFonts w:cs="Symbol"/>
    </w:rPr>
  </w:style>
  <w:style w:type="character" w:styleId="ListLabel269">
    <w:name w:val="ListLabel 269"/>
    <w:qFormat/>
    <w:rPr>
      <w:rFonts w:cs="Symbol"/>
    </w:rPr>
  </w:style>
  <w:style w:type="character" w:styleId="ListLabel270">
    <w:name w:val="ListLabel 270"/>
    <w:qFormat/>
    <w:rPr>
      <w:rFonts w:cs="Symbol"/>
    </w:rPr>
  </w:style>
  <w:style w:type="character" w:styleId="ListLabel271">
    <w:name w:val="ListLabel 271"/>
    <w:qFormat/>
    <w:rPr>
      <w:rFonts w:cs="Symbol"/>
    </w:rPr>
  </w:style>
  <w:style w:type="character" w:styleId="ListLabel272">
    <w:name w:val="ListLabel 272"/>
    <w:qFormat/>
    <w:rPr>
      <w:rFonts w:cs="Symbol"/>
    </w:rPr>
  </w:style>
  <w:style w:type="character" w:styleId="Pics">
    <w:name w:val="Pics"/>
    <w:qFormat/>
    <w:rPr>
      <w:rFonts w:ascii="OpenSymbol" w:hAnsi="OpenSymbol" w:eastAsia="OpenSymbol" w:cs="OpenSymbol"/>
    </w:rPr>
  </w:style>
  <w:style w:type="character" w:styleId="ListLabel56">
    <w:name w:val="ListLabel 56"/>
    <w:qFormat/>
    <w:rPr>
      <w:rFonts w:cs="OpenSymbol"/>
    </w:rPr>
  </w:style>
  <w:style w:type="character" w:styleId="ListLabel57">
    <w:name w:val="ListLabel 57"/>
    <w:qFormat/>
    <w:rPr>
      <w:rFonts w:cs="OpenSymbol"/>
    </w:rPr>
  </w:style>
  <w:style w:type="character" w:styleId="ListLabel58">
    <w:name w:val="ListLabel 58"/>
    <w:qFormat/>
    <w:rPr>
      <w:rFonts w:cs="OpenSymbol"/>
    </w:rPr>
  </w:style>
  <w:style w:type="character" w:styleId="ListLabel59">
    <w:name w:val="ListLabel 59"/>
    <w:qFormat/>
    <w:rPr>
      <w:rFonts w:ascii="Noto Sans" w:hAnsi="Noto Sans" w:cs="OpenSymbol"/>
      <w:b w:val="false"/>
      <w:sz w:val="22"/>
    </w:rPr>
  </w:style>
  <w:style w:type="character" w:styleId="ListLabel60">
    <w:name w:val="ListLabel 60"/>
    <w:qFormat/>
    <w:rPr>
      <w:rFonts w:cs="OpenSymbol"/>
    </w:rPr>
  </w:style>
  <w:style w:type="character" w:styleId="ListLabel61">
    <w:name w:val="ListLabel 61"/>
    <w:qFormat/>
    <w:rPr>
      <w:rFonts w:cs="OpenSymbol"/>
    </w:rPr>
  </w:style>
  <w:style w:type="character" w:styleId="ListLabel62">
    <w:name w:val="ListLabel 62"/>
    <w:qFormat/>
    <w:rPr>
      <w:rFonts w:cs="OpenSymbol"/>
    </w:rPr>
  </w:style>
  <w:style w:type="character" w:styleId="ListLabel63">
    <w:name w:val="ListLabel 63"/>
    <w:qFormat/>
    <w:rPr>
      <w:rFonts w:cs="OpenSymbol"/>
    </w:rPr>
  </w:style>
  <w:style w:type="character" w:styleId="ListLabel64">
    <w:name w:val="ListLabel 64"/>
    <w:qFormat/>
    <w:rPr>
      <w:rFonts w:cs="OpenSymbol"/>
    </w:rPr>
  </w:style>
  <w:style w:type="character" w:styleId="ListLabel78">
    <w:name w:val="ListLabel 78"/>
    <w:qFormat/>
    <w:rPr>
      <w:rFonts w:ascii="Noto Sans" w:hAnsi="Noto Sans"/>
      <w:i/>
      <w:iCs/>
      <w:sz w:val="20"/>
      <w:szCs w:val="20"/>
      <w:u w:val="none"/>
      <w:lang w:val="ca-ES" w:bidi="ar-SA"/>
    </w:rPr>
  </w:style>
  <w:style w:type="character" w:styleId="ListLabel79">
    <w:name w:val="ListLabel 79"/>
    <w:qFormat/>
    <w:rPr>
      <w:rFonts w:ascii="Noto Sans" w:hAnsi="Noto Sans"/>
      <w:color w:val="000000"/>
      <w:sz w:val="20"/>
      <w:szCs w:val="20"/>
      <w:u w:val="none"/>
      <w:lang w:val="ca-ES" w:bidi="ar-SA"/>
    </w:rPr>
  </w:style>
  <w:style w:type="character" w:styleId="Ncoradenotafinal">
    <w:name w:val="Àncora de nota final"/>
    <w:rPr>
      <w:vertAlign w:val="superscript"/>
    </w:rPr>
  </w:style>
  <w:style w:type="character" w:styleId="Carctersdenotafinal">
    <w:name w:val="Caràcters de nota final"/>
    <w:qFormat/>
    <w:rPr/>
  </w:style>
  <w:style w:type="character" w:styleId="ListLabel273">
    <w:name w:val="ListLabel 273"/>
    <w:qFormat/>
    <w:rPr>
      <w:b w:val="false"/>
      <w:bCs w:val="false"/>
      <w:i w:val="false"/>
      <w:iCs/>
    </w:rPr>
  </w:style>
  <w:style w:type="character" w:styleId="ListLabel274">
    <w:name w:val="ListLabel 274"/>
    <w:qFormat/>
    <w:rPr>
      <w:rFonts w:cs="OpenSymbol"/>
      <w:sz w:val="22"/>
    </w:rPr>
  </w:style>
  <w:style w:type="character" w:styleId="ListLabel275">
    <w:name w:val="ListLabel 275"/>
    <w:qFormat/>
    <w:rPr>
      <w:rFonts w:cs="Symbol"/>
    </w:rPr>
  </w:style>
  <w:style w:type="character" w:styleId="ListLabel276">
    <w:name w:val="ListLabel 276"/>
    <w:qFormat/>
    <w:rPr>
      <w:rFonts w:cs="Symbol"/>
    </w:rPr>
  </w:style>
  <w:style w:type="character" w:styleId="ListLabel277">
    <w:name w:val="ListLabel 277"/>
    <w:qFormat/>
    <w:rPr>
      <w:rFonts w:cs="Symbol"/>
    </w:rPr>
  </w:style>
  <w:style w:type="character" w:styleId="ListLabel278">
    <w:name w:val="ListLabel 278"/>
    <w:qFormat/>
    <w:rPr>
      <w:rFonts w:cs="Symbol"/>
    </w:rPr>
  </w:style>
  <w:style w:type="character" w:styleId="ListLabel279">
    <w:name w:val="ListLabel 279"/>
    <w:qFormat/>
    <w:rPr>
      <w:rFonts w:cs="Symbol"/>
    </w:rPr>
  </w:style>
  <w:style w:type="character" w:styleId="ListLabel280">
    <w:name w:val="ListLabel 280"/>
    <w:qFormat/>
    <w:rPr>
      <w:rFonts w:ascii="Noto Sans" w:hAnsi="Noto Sans" w:cs="OpenSymbol"/>
      <w:b/>
      <w:sz w:val="20"/>
    </w:rPr>
  </w:style>
  <w:style w:type="character" w:styleId="ListLabel281">
    <w:name w:val="ListLabel 281"/>
    <w:qFormat/>
    <w:rPr>
      <w:rFonts w:cs="OpenSymbol"/>
    </w:rPr>
  </w:style>
  <w:style w:type="character" w:styleId="ListLabel282">
    <w:name w:val="ListLabel 282"/>
    <w:qFormat/>
    <w:rPr>
      <w:rFonts w:cs="OpenSymbol"/>
    </w:rPr>
  </w:style>
  <w:style w:type="character" w:styleId="ListLabel283">
    <w:name w:val="ListLabel 283"/>
    <w:qFormat/>
    <w:rPr>
      <w:rFonts w:cs="OpenSymbol"/>
    </w:rPr>
  </w:style>
  <w:style w:type="character" w:styleId="ListLabel284">
    <w:name w:val="ListLabel 284"/>
    <w:qFormat/>
    <w:rPr>
      <w:rFonts w:cs="OpenSymbol"/>
    </w:rPr>
  </w:style>
  <w:style w:type="character" w:styleId="ListLabel285">
    <w:name w:val="ListLabel 285"/>
    <w:qFormat/>
    <w:rPr>
      <w:rFonts w:cs="OpenSymbol"/>
    </w:rPr>
  </w:style>
  <w:style w:type="character" w:styleId="ListLabel286">
    <w:name w:val="ListLabel 286"/>
    <w:qFormat/>
    <w:rPr>
      <w:rFonts w:cs="OpenSymbol"/>
    </w:rPr>
  </w:style>
  <w:style w:type="character" w:styleId="ListLabel287">
    <w:name w:val="ListLabel 287"/>
    <w:qFormat/>
    <w:rPr>
      <w:rFonts w:cs="OpenSymbol"/>
    </w:rPr>
  </w:style>
  <w:style w:type="character" w:styleId="ListLabel288">
    <w:name w:val="ListLabel 288"/>
    <w:qFormat/>
    <w:rPr>
      <w:rFonts w:cs="OpenSymbol"/>
    </w:rPr>
  </w:style>
  <w:style w:type="character" w:styleId="ListLabel289">
    <w:name w:val="ListLabel 289"/>
    <w:qFormat/>
    <w:rPr>
      <w:rFonts w:ascii="Noto Sans" w:hAnsi="Noto Sans" w:cs="OpenSymbol"/>
      <w:b w:val="false"/>
      <w:sz w:val="20"/>
    </w:rPr>
  </w:style>
  <w:style w:type="character" w:styleId="ListLabel290">
    <w:name w:val="ListLabel 290"/>
    <w:qFormat/>
    <w:rPr>
      <w:rFonts w:cs="OpenSymbol"/>
    </w:rPr>
  </w:style>
  <w:style w:type="character" w:styleId="ListLabel291">
    <w:name w:val="ListLabel 291"/>
    <w:qFormat/>
    <w:rPr>
      <w:rFonts w:cs="OpenSymbol"/>
    </w:rPr>
  </w:style>
  <w:style w:type="character" w:styleId="ListLabel292">
    <w:name w:val="ListLabel 292"/>
    <w:qFormat/>
    <w:rPr>
      <w:rFonts w:cs="OpenSymbol"/>
    </w:rPr>
  </w:style>
  <w:style w:type="character" w:styleId="ListLabel293">
    <w:name w:val="ListLabel 293"/>
    <w:qFormat/>
    <w:rPr>
      <w:rFonts w:cs="OpenSymbol"/>
    </w:rPr>
  </w:style>
  <w:style w:type="character" w:styleId="ListLabel294">
    <w:name w:val="ListLabel 294"/>
    <w:qFormat/>
    <w:rPr>
      <w:rFonts w:cs="OpenSymbol"/>
    </w:rPr>
  </w:style>
  <w:style w:type="character" w:styleId="ListLabel295">
    <w:name w:val="ListLabel 295"/>
    <w:qFormat/>
    <w:rPr>
      <w:rFonts w:cs="OpenSymbol"/>
    </w:rPr>
  </w:style>
  <w:style w:type="character" w:styleId="ListLabel296">
    <w:name w:val="ListLabel 296"/>
    <w:qFormat/>
    <w:rPr>
      <w:rFonts w:cs="OpenSymbol"/>
    </w:rPr>
  </w:style>
  <w:style w:type="character" w:styleId="ListLabel297">
    <w:name w:val="ListLabel 297"/>
    <w:qFormat/>
    <w:rPr>
      <w:rFonts w:cs="OpenSymbol"/>
    </w:rPr>
  </w:style>
  <w:style w:type="character" w:styleId="ListLabel298">
    <w:name w:val="ListLabel 298"/>
    <w:qFormat/>
    <w:rPr>
      <w:rFonts w:ascii="Noto Sans" w:hAnsi="Noto Sans"/>
      <w:b/>
      <w:bCs/>
      <w:sz w:val="16"/>
      <w:szCs w:val="16"/>
    </w:rPr>
  </w:style>
  <w:style w:type="character" w:styleId="ListLabel299">
    <w:name w:val="ListLabel 299"/>
    <w:qFormat/>
    <w:rPr>
      <w:rFonts w:ascii="Noto Sans" w:hAnsi="Noto Sans"/>
      <w:i/>
      <w:iCs/>
      <w:sz w:val="20"/>
      <w:szCs w:val="20"/>
      <w:u w:val="none"/>
      <w:lang w:val="ca-ES" w:bidi="ar-SA"/>
    </w:rPr>
  </w:style>
  <w:style w:type="character" w:styleId="ListLabel300">
    <w:name w:val="ListLabel 300"/>
    <w:qFormat/>
    <w:rPr>
      <w:rFonts w:ascii="Noto Sans" w:hAnsi="Noto Sans"/>
      <w:color w:val="000000"/>
      <w:sz w:val="20"/>
      <w:szCs w:val="20"/>
      <w:u w:val="none"/>
      <w:lang w:val="ca-ES" w:bidi="ar-SA"/>
    </w:rPr>
  </w:style>
  <w:style w:type="character" w:styleId="ListLabel301">
    <w:name w:val="ListLabel 301"/>
    <w:qFormat/>
    <w:rPr>
      <w:rFonts w:ascii="Noto Sans" w:hAnsi="Noto Sans" w:cs="OpenSymbol"/>
      <w:b/>
      <w:sz w:val="20"/>
    </w:rPr>
  </w:style>
  <w:style w:type="character" w:styleId="ListLabel302">
    <w:name w:val="ListLabel 302"/>
    <w:qFormat/>
    <w:rPr>
      <w:rFonts w:cs="OpenSymbol"/>
    </w:rPr>
  </w:style>
  <w:style w:type="character" w:styleId="ListLabel303">
    <w:name w:val="ListLabel 303"/>
    <w:qFormat/>
    <w:rPr>
      <w:rFonts w:cs="OpenSymbol"/>
    </w:rPr>
  </w:style>
  <w:style w:type="character" w:styleId="ListLabel304">
    <w:name w:val="ListLabel 304"/>
    <w:qFormat/>
    <w:rPr>
      <w:rFonts w:cs="OpenSymbol"/>
    </w:rPr>
  </w:style>
  <w:style w:type="character" w:styleId="ListLabel305">
    <w:name w:val="ListLabel 305"/>
    <w:qFormat/>
    <w:rPr>
      <w:rFonts w:cs="OpenSymbol"/>
    </w:rPr>
  </w:style>
  <w:style w:type="character" w:styleId="ListLabel306">
    <w:name w:val="ListLabel 306"/>
    <w:qFormat/>
    <w:rPr>
      <w:rFonts w:cs="OpenSymbol"/>
    </w:rPr>
  </w:style>
  <w:style w:type="character" w:styleId="ListLabel307">
    <w:name w:val="ListLabel 307"/>
    <w:qFormat/>
    <w:rPr>
      <w:rFonts w:cs="OpenSymbol"/>
    </w:rPr>
  </w:style>
  <w:style w:type="character" w:styleId="ListLabel308">
    <w:name w:val="ListLabel 308"/>
    <w:qFormat/>
    <w:rPr>
      <w:rFonts w:cs="OpenSymbol"/>
    </w:rPr>
  </w:style>
  <w:style w:type="character" w:styleId="ListLabel309">
    <w:name w:val="ListLabel 309"/>
    <w:qFormat/>
    <w:rPr>
      <w:rFonts w:cs="OpenSymbol"/>
    </w:rPr>
  </w:style>
  <w:style w:type="character" w:styleId="ListLabel310">
    <w:name w:val="ListLabel 310"/>
    <w:qFormat/>
    <w:rPr>
      <w:rFonts w:ascii="Noto Sans" w:hAnsi="Noto Sans" w:cs="OpenSymbol"/>
      <w:b w:val="false"/>
      <w:sz w:val="20"/>
    </w:rPr>
  </w:style>
  <w:style w:type="character" w:styleId="ListLabel311">
    <w:name w:val="ListLabel 311"/>
    <w:qFormat/>
    <w:rPr>
      <w:rFonts w:cs="OpenSymbol"/>
    </w:rPr>
  </w:style>
  <w:style w:type="character" w:styleId="ListLabel312">
    <w:name w:val="ListLabel 312"/>
    <w:qFormat/>
    <w:rPr>
      <w:rFonts w:cs="OpenSymbol"/>
    </w:rPr>
  </w:style>
  <w:style w:type="character" w:styleId="ListLabel313">
    <w:name w:val="ListLabel 313"/>
    <w:qFormat/>
    <w:rPr>
      <w:rFonts w:cs="OpenSymbol"/>
    </w:rPr>
  </w:style>
  <w:style w:type="character" w:styleId="ListLabel314">
    <w:name w:val="ListLabel 314"/>
    <w:qFormat/>
    <w:rPr>
      <w:rFonts w:cs="OpenSymbol"/>
    </w:rPr>
  </w:style>
  <w:style w:type="character" w:styleId="ListLabel315">
    <w:name w:val="ListLabel 315"/>
    <w:qFormat/>
    <w:rPr>
      <w:rFonts w:cs="OpenSymbol"/>
    </w:rPr>
  </w:style>
  <w:style w:type="character" w:styleId="ListLabel316">
    <w:name w:val="ListLabel 316"/>
    <w:qFormat/>
    <w:rPr>
      <w:rFonts w:cs="OpenSymbol"/>
    </w:rPr>
  </w:style>
  <w:style w:type="character" w:styleId="ListLabel317">
    <w:name w:val="ListLabel 317"/>
    <w:qFormat/>
    <w:rPr>
      <w:rFonts w:cs="OpenSymbol"/>
    </w:rPr>
  </w:style>
  <w:style w:type="character" w:styleId="ListLabel318">
    <w:name w:val="ListLabel 318"/>
    <w:qFormat/>
    <w:rPr>
      <w:rFonts w:cs="OpenSymbol"/>
    </w:rPr>
  </w:style>
  <w:style w:type="character" w:styleId="ListLabel319">
    <w:name w:val="ListLabel 319"/>
    <w:qFormat/>
    <w:rPr>
      <w:rFonts w:ascii="Noto Sans" w:hAnsi="Noto Sans"/>
      <w:b/>
      <w:bCs/>
      <w:sz w:val="16"/>
      <w:szCs w:val="16"/>
    </w:rPr>
  </w:style>
  <w:style w:type="character" w:styleId="ListLabel320">
    <w:name w:val="ListLabel 320"/>
    <w:qFormat/>
    <w:rPr>
      <w:rFonts w:ascii="Noto Sans" w:hAnsi="Noto Sans"/>
      <w:i/>
      <w:iCs/>
      <w:sz w:val="20"/>
      <w:szCs w:val="20"/>
      <w:u w:val="none"/>
      <w:lang w:val="ca-ES" w:bidi="ar-SA"/>
    </w:rPr>
  </w:style>
  <w:style w:type="character" w:styleId="ListLabel321">
    <w:name w:val="ListLabel 321"/>
    <w:qFormat/>
    <w:rPr>
      <w:rFonts w:ascii="Noto Sans" w:hAnsi="Noto Sans"/>
      <w:color w:val="000000"/>
      <w:sz w:val="20"/>
      <w:szCs w:val="20"/>
      <w:u w:val="none"/>
      <w:lang w:val="ca-ES" w:bidi="ar-SA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taalpeu">
    <w:name w:val="Footnote Text"/>
    <w:basedOn w:val="Normal"/>
    <w:pPr>
      <w:suppressLineNumbers/>
      <w:ind w:left="339" w:right="0" w:hanging="339"/>
    </w:pPr>
    <w:rPr>
      <w:sz w:val="20"/>
      <w:szCs w:val="20"/>
    </w:rPr>
  </w:style>
  <w:style w:type="paragraph" w:styleId="Capalera">
    <w:name w:val="Header"/>
    <w:basedOn w:val="Normal"/>
    <w:pPr>
      <w:suppressLineNumbers/>
      <w:tabs>
        <w:tab w:val="clear" w:pos="936"/>
        <w:tab w:val="center" w:pos="7285" w:leader="none"/>
        <w:tab w:val="right" w:pos="14570" w:leader="none"/>
      </w:tabs>
    </w:pPr>
    <w:rPr/>
  </w:style>
  <w:style w:type="paragraph" w:styleId="LOnormal">
    <w:name w:val="LO-normal"/>
    <w:qFormat/>
    <w:pPr>
      <w:widowControl/>
      <w:kinsoku w:val="true"/>
      <w:overflowPunct w:val="true"/>
      <w:autoSpaceDE w:val="true"/>
      <w:bidi w:val="0"/>
      <w:spacing w:before="0" w:after="120"/>
      <w:jc w:val="both"/>
    </w:pPr>
    <w:rPr>
      <w:rFonts w:ascii="LegacySanITCBoo" w:hAnsi="LegacySanITCBoo" w:eastAsia="LegacySanITCBoo" w:cs="LegacySanITCBoo"/>
      <w:color w:val="000000"/>
      <w:kern w:val="2"/>
      <w:sz w:val="26"/>
      <w:szCs w:val="26"/>
      <w:lang w:val="es-ES" w:eastAsia="zh-CN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hyperlink" Target="http://www.firab.org/en/programacion/2023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464</TotalTime>
  <Application>LibreOffice/6.1.5.2$Windows_x86 LibreOffice_project/90f8dcf33c87b3705e78202e3df5142b201bd805</Application>
  <Pages>8</Pages>
  <Words>971</Words>
  <Characters>5594</Characters>
  <CharactersWithSpaces>6500</CharactersWithSpaces>
  <Paragraphs>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cp:lastPrinted>2025-02-10T08:34:58Z</cp:lastPrinted>
  <dcterms:modified xsi:type="dcterms:W3CDTF">2025-03-03T09:20:26Z</dcterms:modified>
  <cp:revision>30</cp:revision>
  <dc:subject/>
  <dc:title/>
</cp:coreProperties>
</file>