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rFonts w:ascii="Noto Sans" w:hAnsi="Noto Sans"/>
          <w:b/>
          <w:b/>
          <w:bCs/>
          <w:sz w:val="28"/>
          <w:szCs w:val="28"/>
          <w:u w:val="single"/>
        </w:rPr>
      </w:pPr>
      <w:r>
        <w:rPr>
          <w:rFonts w:ascii="Noto Sans" w:hAnsi="Noto Sans"/>
          <w:b/>
          <w:bCs/>
          <w:sz w:val="28"/>
          <w:szCs w:val="28"/>
          <w:u w:val="single"/>
        </w:rPr>
      </w:r>
    </w:p>
    <w:p>
      <w:pPr>
        <w:pStyle w:val="Cosdeltext"/>
        <w:jc w:val="left"/>
        <w:rPr>
          <w:rFonts w:ascii="Noto Sans" w:hAnsi="Noto Sans"/>
          <w:b/>
          <w:b/>
          <w:bCs/>
          <w:sz w:val="28"/>
          <w:szCs w:val="28"/>
          <w:u w:val="single"/>
        </w:rPr>
      </w:pPr>
      <w:r>
        <w:rPr>
          <w:rFonts w:ascii="Noto Sans" w:hAnsi="Noto Sans"/>
          <w:b/>
          <w:bCs/>
          <w:sz w:val="28"/>
          <w:szCs w:val="28"/>
          <w:u w:val="single"/>
        </w:rPr>
        <w:t>INSTITUTO DE ESTUDIOS BALEÁRICOS</w:t>
      </w:r>
    </w:p>
    <w:p>
      <w:pPr>
        <w:pStyle w:val="Cosdeltext"/>
        <w:jc w:val="left"/>
        <w:rPr>
          <w:rFonts w:ascii="Noto Sans" w:hAnsi="Noto Sans"/>
          <w:b/>
          <w:b/>
          <w:bCs/>
          <w:sz w:val="28"/>
          <w:szCs w:val="28"/>
        </w:rPr>
      </w:pPr>
      <w:r>
        <w:rPr>
          <w:rFonts w:ascii="Noto Sans" w:hAnsi="Noto Sans"/>
          <w:b/>
          <w:bCs/>
          <w:sz w:val="28"/>
          <w:szCs w:val="28"/>
          <w:u w:val="single"/>
        </w:rPr>
        <w:t>FERIAS Y FESTIVALES 2025</w:t>
      </w:r>
    </w:p>
    <w:p>
      <w:pPr>
        <w:pStyle w:val="Normal"/>
        <w:jc w:val="center"/>
        <w:rPr>
          <w:rFonts w:ascii="Noto Sans" w:hAnsi="Noto Sans"/>
          <w:b/>
          <w:b/>
          <w:bCs/>
          <w:sz w:val="20"/>
          <w:szCs w:val="20"/>
        </w:rPr>
      </w:pPr>
      <w:r>
        <w:rPr>
          <w:rFonts w:ascii="Noto Sans" w:hAnsi="Noto Sans"/>
          <w:b/>
          <w:bCs/>
          <w:sz w:val="20"/>
          <w:szCs w:val="20"/>
        </w:rPr>
        <w:t>ACREDITACIÓN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auto"/>
                <w:sz w:val="22"/>
                <w:szCs w:val="22"/>
              </w:rPr>
            </w:pPr>
            <w:r>
              <w:rPr>
                <w:rFonts w:ascii="Noto Sans" w:hAnsi="Noto Sans"/>
                <w:b/>
                <w:bCs/>
                <w:color w:val="auto"/>
                <w:sz w:val="22"/>
                <w:szCs w:val="22"/>
                <w:lang w:val="es-ES" w:eastAsia="zh-CN"/>
              </w:rPr>
              <w:t xml:space="preserve">La actividad objeto de la subvención debe tener como una de sus finalidades, de forma comprobable, la proyección exterior de los artistas de las Illes Balears. Los eventos, deben cumplir, como mínimo, </w:t>
            </w:r>
            <w:r>
              <w:rPr>
                <w:rFonts w:ascii="Noto Sans" w:hAnsi="Noto Sans"/>
                <w:b/>
                <w:bCs/>
                <w:color w:val="auto"/>
                <w:sz w:val="22"/>
                <w:szCs w:val="22"/>
                <w:u w:val="single"/>
                <w:lang w:val="es-ES" w:eastAsia="zh-CN"/>
              </w:rPr>
              <w:t xml:space="preserve">dos </w:t>
            </w:r>
            <w:r>
              <w:rPr>
                <w:rFonts w:ascii="Noto Sans" w:hAnsi="Noto Sans"/>
                <w:b/>
                <w:bCs/>
                <w:color w:val="auto"/>
                <w:sz w:val="22"/>
                <w:szCs w:val="22"/>
                <w:lang w:val="es-ES" w:eastAsia="zh-CN"/>
              </w:rPr>
              <w:t xml:space="preserve">de estos requisitos </w:t>
            </w:r>
            <w:r>
              <w:rPr>
                <w:rStyle w:val="Ncoradenotaalpeu"/>
                <w:rStyle w:val="Ncoradenotaalpeu"/>
                <w:rFonts w:ascii="Noto Sans" w:hAnsi="Noto Sans"/>
                <w:b/>
                <w:bCs/>
                <w:color w:val="auto"/>
                <w:sz w:val="22"/>
                <w:szCs w:val="22"/>
                <w:lang w:val="es-ES" w:eastAsia="zh-CN"/>
              </w:rPr>
              <w:footnoteReference w:id="2"/>
            </w:r>
            <w:r>
              <w:rPr>
                <w:rFonts w:ascii="Noto Sans" w:hAnsi="Noto Sans"/>
                <w:b/>
                <w:bCs/>
                <w:color w:val="auto"/>
                <w:sz w:val="22"/>
                <w:szCs w:val="22"/>
                <w:lang w:val="es-ES" w:eastAsia="zh-CN"/>
              </w:rPr>
              <w: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lang w:val="es-ES" w:eastAsia="zh-CN"/>
              </w:rPr>
              <w:t>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18"/>
                <w:szCs w:val="18"/>
                <w:lang w:val="es-ES" w:eastAsia="zh-CN"/>
              </w:rPr>
            </w:pPr>
            <w:r>
              <w:rPr>
                <w:rFonts w:ascii="Noto Sans" w:hAnsi="Noto Sans"/>
                <w:b/>
                <w:bCs/>
                <w:sz w:val="18"/>
                <w:szCs w:val="18"/>
                <w:lang w:val="es-ES" w:eastAsia="zh-CN"/>
              </w:rPr>
            </w:r>
          </w:p>
          <w:p>
            <w:pPr>
              <w:pStyle w:val="Normal"/>
              <w:jc w:val="left"/>
              <w:rPr>
                <w:rFonts w:ascii="Noto Sans" w:hAnsi="Noto Sans"/>
                <w:b/>
                <w:b/>
                <w:bCs/>
                <w:i/>
                <w:i/>
                <w:iCs/>
                <w:sz w:val="18"/>
                <w:szCs w:val="18"/>
              </w:rPr>
            </w:pPr>
            <w:r>
              <w:rPr>
                <w:rFonts w:ascii="Noto Sans" w:hAnsi="Noto Sans"/>
                <w:b/>
                <w:bCs/>
                <w:i/>
                <w:iCs/>
                <w:sz w:val="18"/>
                <w:szCs w:val="18"/>
                <w:lang w:val="es-ES" w:eastAsia="zh-CN"/>
              </w:rPr>
              <w:t xml:space="preserve">– </w:t>
            </w:r>
            <w:r>
              <w:rPr>
                <w:rFonts w:ascii="Noto Sans" w:hAnsi="Noto Sans"/>
                <w:b w:val="false"/>
                <w:bCs w:val="false"/>
                <w:i w:val="false"/>
                <w:iCs w:val="false"/>
                <w:sz w:val="18"/>
                <w:szCs w:val="18"/>
                <w:lang w:val="es-ES" w:eastAsia="zh-CN"/>
              </w:rPr>
              <w:t>Especifica quiénes son, su procedencia, y qué actividad realizan dentro del evento.</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lang w:val="es-ES" w:eastAsia="zh-CN"/>
              </w:rPr>
              <w:t xml:space="preserve">– </w:t>
            </w:r>
            <w:r>
              <w:rPr>
                <w:rFonts w:ascii="Noto Sans" w:hAnsi="Noto Sans"/>
                <w:b w:val="false"/>
                <w:bCs w:val="false"/>
                <w:i w:val="false"/>
                <w:iCs w:val="false"/>
                <w:sz w:val="18"/>
                <w:szCs w:val="18"/>
                <w:lang w:val="es-ES" w:eastAsia="zh-CN"/>
              </w:rPr>
              <w:t>Para acreditar el cumplimiento de este requisito, deben presentarse 3 cartas de compromiso de participación firmadas por los profesionales.</w:t>
            </w:r>
          </w:p>
          <w:p>
            <w:pPr>
              <w:pStyle w:val="Normal"/>
              <w:jc w:val="left"/>
              <w:rPr>
                <w:rFonts w:ascii="Noto Sans" w:hAnsi="Noto Sans"/>
                <w:b w:val="false"/>
                <w:b w:val="false"/>
                <w:bCs w:val="false"/>
                <w:i w:val="false"/>
                <w:i w:val="false"/>
                <w:iCs w:val="false"/>
                <w:sz w:val="18"/>
                <w:szCs w:val="18"/>
                <w:lang w:val="es-ES" w:eastAsia="zh-CN"/>
              </w:rPr>
            </w:pPr>
            <w:r>
              <w:rPr>
                <w:rFonts w:ascii="Noto Sans" w:hAnsi="Noto Sans"/>
                <w:b w:val="false"/>
                <w:bCs w:val="false"/>
                <w:i w:val="false"/>
                <w:iCs w:val="false"/>
                <w:sz w:val="18"/>
                <w:szCs w:val="18"/>
                <w:lang w:val="es-ES" w:eastAsia="zh-CN"/>
              </w:rPr>
            </w:r>
          </w:p>
          <w:p>
            <w:pPr>
              <w:pStyle w:val="Normal"/>
              <w:jc w:val="left"/>
              <w:rPr>
                <w:rFonts w:ascii="Noto Sans" w:hAnsi="Noto Sans"/>
                <w:b w:val="false"/>
                <w:b w:val="false"/>
                <w:bCs w:val="false"/>
                <w:i w:val="false"/>
                <w:i w:val="false"/>
                <w:iCs w:val="false"/>
                <w:sz w:val="18"/>
                <w:szCs w:val="18"/>
                <w:lang w:val="es-ES" w:eastAsia="zh-CN"/>
              </w:rPr>
            </w:pPr>
            <w:r>
              <w:rPr>
                <w:rFonts w:ascii="Noto Sans" w:hAnsi="Noto Sans"/>
                <w:b w:val="false"/>
                <w:bCs w:val="false"/>
                <w:i w:val="false"/>
                <w:iCs w:val="false"/>
                <w:sz w:val="18"/>
                <w:szCs w:val="18"/>
                <w:lang w:val="es-ES" w:eastAsia="zh-CN"/>
              </w:rPr>
            </w:r>
          </w:p>
          <w:p>
            <w:pPr>
              <w:pStyle w:val="Normal"/>
              <w:jc w:val="left"/>
              <w:rPr>
                <w:rFonts w:ascii="Noto Sans" w:hAnsi="Noto Sans"/>
                <w:b w:val="false"/>
                <w:b w:val="false"/>
                <w:bCs w:val="false"/>
                <w:i w:val="false"/>
                <w:i w:val="false"/>
                <w:iCs w:val="false"/>
                <w:sz w:val="18"/>
                <w:szCs w:val="18"/>
                <w:lang w:val="es-ES" w:eastAsia="zh-CN"/>
              </w:rPr>
            </w:pPr>
            <w:r>
              <w:rPr>
                <w:rFonts w:ascii="Noto Sans" w:hAnsi="Noto Sans"/>
                <w:b w:val="false"/>
                <w:bCs w:val="false"/>
                <w:i w:val="false"/>
                <w:iCs w:val="false"/>
                <w:sz w:val="18"/>
                <w:szCs w:val="18"/>
                <w:lang w:val="es-ES" w:eastAsia="zh-CN"/>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lang w:val="es-ES" w:eastAsia="zh-CN"/>
              </w:rPr>
            </w:pPr>
            <w:r>
              <w:rPr>
                <w:rFonts w:ascii="Noto Sans" w:hAnsi="Noto Sans"/>
                <w:sz w:val="20"/>
                <w:szCs w:val="20"/>
                <w:lang w:val="es-ES" w:eastAsia="zh-CN"/>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lang w:val="es-ES" w:eastAsia="zh-CN"/>
              </w:rPr>
              <w:t>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18"/>
                <w:szCs w:val="18"/>
                <w:lang w:val="es-ES" w:eastAsia="zh-CN"/>
              </w:rPr>
            </w:pPr>
            <w:r>
              <w:rPr>
                <w:rFonts w:ascii="Noto Sans" w:hAnsi="Noto Sans"/>
                <w:b/>
                <w:bCs/>
                <w:sz w:val="18"/>
                <w:szCs w:val="18"/>
                <w:lang w:val="es-ES" w:eastAsia="zh-CN"/>
              </w:rPr>
            </w:r>
          </w:p>
          <w:p>
            <w:pPr>
              <w:pStyle w:val="Normal"/>
              <w:jc w:val="left"/>
              <w:rPr>
                <w:rFonts w:ascii="Noto Sans" w:hAnsi="Noto Sans"/>
                <w:b/>
                <w:b/>
                <w:bCs/>
                <w:i/>
                <w:i/>
                <w:iCs/>
                <w:sz w:val="18"/>
                <w:szCs w:val="18"/>
              </w:rPr>
            </w:pPr>
            <w:r>
              <w:rPr>
                <w:rFonts w:ascii="Noto Sans" w:hAnsi="Noto Sans"/>
                <w:b w:val="false"/>
                <w:bCs w:val="false"/>
                <w:i w:val="false"/>
                <w:iCs w:val="false"/>
                <w:sz w:val="18"/>
                <w:szCs w:val="18"/>
                <w:lang w:val="es-ES" w:eastAsia="zh-CN"/>
              </w:rPr>
              <w:t xml:space="preserve">* </w:t>
            </w:r>
            <w:r>
              <w:rPr>
                <w:rStyle w:val="Fuentedeprrafopredeter"/>
                <w:rFonts w:ascii="Noto Sans" w:hAnsi="Noto Sans"/>
                <w:b w:val="false"/>
                <w:bCs w:val="false"/>
                <w:i w:val="false"/>
                <w:iCs w:val="false"/>
                <w:color w:val="auto"/>
                <w:sz w:val="18"/>
                <w:szCs w:val="18"/>
                <w:lang w:val="es-ES" w:eastAsia="zh-CN"/>
              </w:rPr>
              <w:t xml:space="preserve">Para acreditar el cumplimiento de este requisito, </w:t>
            </w:r>
            <w:r>
              <w:rPr>
                <w:rFonts w:ascii="Noto Sans" w:hAnsi="Noto Sans"/>
                <w:b w:val="false"/>
                <w:bCs w:val="false"/>
                <w:i w:val="false"/>
                <w:iCs w:val="false"/>
                <w:color w:val="auto"/>
                <w:sz w:val="18"/>
                <w:szCs w:val="18"/>
                <w:lang w:val="es-ES" w:eastAsia="zh-CN"/>
              </w:rPr>
              <w:t>deben presentarse cartas de compromiso o un convenio de intercambio con, como mínimo, un evento similar de fuera de las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eastAsia="zh-CN"/>
              </w:rPr>
            </w:pPr>
            <w:r>
              <w:rPr>
                <w:rFonts w:ascii="Noto Sans" w:hAnsi="Noto Sans"/>
                <w:sz w:val="20"/>
                <w:szCs w:val="20"/>
                <w:lang w:val="es-ES" w:eastAsia="zh-CN"/>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val="false"/>
                <w:b w:val="false"/>
                <w:bCs w:val="false"/>
                <w:sz w:val="18"/>
                <w:szCs w:val="18"/>
              </w:rPr>
            </w:pPr>
            <w:r>
              <w:rPr>
                <w:rFonts w:ascii="Noto Sans" w:hAnsi="Noto Sans"/>
                <w:b/>
                <w:bCs/>
                <w:sz w:val="20"/>
                <w:szCs w:val="20"/>
                <w:lang w:val="es-ES" w:eastAsia="zh-CN"/>
              </w:rPr>
              <w:t>Organización, dentro del programa del evento, de jornadas orientadas al público profesional, que deben cumplir los siguientes requisitos: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eastAsia="zh-CN"/>
              </w:rPr>
              <w:t xml:space="preserve">El programa debe tener al menos </w:t>
            </w:r>
            <w:r>
              <w:rPr>
                <w:rStyle w:val="Fuentedeprrafopredeter"/>
                <w:rFonts w:ascii="Noto Sans" w:hAnsi="Noto Sans"/>
                <w:b/>
                <w:bCs/>
                <w:color w:val="auto"/>
                <w:sz w:val="18"/>
                <w:szCs w:val="18"/>
                <w:lang w:val="es-ES" w:eastAsia="zh-CN"/>
              </w:rPr>
              <w:t xml:space="preserve">3 </w:t>
            </w:r>
            <w:r>
              <w:rPr>
                <w:rStyle w:val="Fuentedeprrafopredeter"/>
                <w:rFonts w:ascii="Noto Sans" w:hAnsi="Noto Sans"/>
                <w:b w:val="false"/>
                <w:bCs w:val="false"/>
                <w:color w:val="auto"/>
                <w:sz w:val="18"/>
                <w:szCs w:val="18"/>
                <w:lang w:val="es-ES" w:eastAsia="zh-CN"/>
              </w:rPr>
              <w:t>actividades diferentes.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eastAsia="zh-CN"/>
              </w:rPr>
              <w:t xml:space="preserve">Tienen que ir dirigidas exclusivamente a un </w:t>
            </w:r>
            <w:r>
              <w:rPr>
                <w:rStyle w:val="Fuentedeprrafopredeter"/>
                <w:rFonts w:ascii="Noto Sans" w:hAnsi="Noto Sans"/>
                <w:b/>
                <w:bCs/>
                <w:color w:val="auto"/>
                <w:sz w:val="18"/>
                <w:szCs w:val="18"/>
                <w:lang w:val="es-ES" w:eastAsia="zh-CN"/>
              </w:rPr>
              <w:t xml:space="preserve">público profesional </w:t>
            </w:r>
            <w:r>
              <w:rPr>
                <w:rStyle w:val="Fuentedeprrafopredeter"/>
                <w:rFonts w:ascii="Noto Sans" w:hAnsi="Noto Sans"/>
                <w:b w:val="false"/>
                <w:bCs w:val="false"/>
                <w:color w:val="auto"/>
                <w:sz w:val="18"/>
                <w:szCs w:val="18"/>
                <w:lang w:val="es-ES" w:eastAsia="zh-CN"/>
              </w:rPr>
              <w:t xml:space="preserve">y deben ser </w:t>
            </w:r>
            <w:r>
              <w:rPr>
                <w:rStyle w:val="Fuentedeprrafopredeter"/>
                <w:rFonts w:ascii="Noto Sans" w:hAnsi="Noto Sans"/>
                <w:b/>
                <w:bCs/>
                <w:color w:val="auto"/>
                <w:sz w:val="18"/>
                <w:szCs w:val="18"/>
                <w:lang w:val="es-ES" w:eastAsia="zh-CN"/>
              </w:rPr>
              <w:t xml:space="preserve">abiertas </w:t>
            </w:r>
            <w:r>
              <w:rPr>
                <w:rStyle w:val="Fuentedeprrafopredeter"/>
                <w:rFonts w:ascii="Noto Sans" w:hAnsi="Noto Sans"/>
                <w:b w:val="false"/>
                <w:bCs w:val="false"/>
                <w:color w:val="auto"/>
                <w:sz w:val="18"/>
                <w:szCs w:val="18"/>
                <w:lang w:val="es-ES" w:eastAsia="zh-CN"/>
              </w:rPr>
              <w:t>para que se puedan inscribir artistas y profesionales baleares.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lang w:val="es-ES" w:eastAsia="zh-CN"/>
              </w:rPr>
              <w:t xml:space="preserve">Se dará </w:t>
            </w:r>
            <w:r>
              <w:rPr>
                <w:rStyle w:val="Fuentedeprrafopredeter"/>
                <w:rFonts w:ascii="Noto Sans" w:hAnsi="Noto Sans"/>
                <w:b/>
                <w:bCs/>
                <w:color w:val="auto"/>
                <w:sz w:val="18"/>
                <w:szCs w:val="18"/>
                <w:lang w:val="es-ES" w:eastAsia="zh-CN"/>
              </w:rPr>
              <w:t xml:space="preserve">publicidad </w:t>
            </w:r>
            <w:r>
              <w:rPr>
                <w:rStyle w:val="Fuentedeprrafopredeter"/>
                <w:rFonts w:ascii="Noto Sans" w:hAnsi="Noto Sans"/>
                <w:b w:val="false"/>
                <w:bCs w:val="false"/>
                <w:color w:val="auto"/>
                <w:sz w:val="18"/>
                <w:szCs w:val="18"/>
                <w:lang w:val="es-ES" w:eastAsia="zh-CN"/>
              </w:rPr>
              <w:t>y aparecerá la información en la página web del evento.</w:t>
            </w:r>
          </w:p>
          <w:p>
            <w:pPr>
              <w:pStyle w:val="Normal"/>
              <w:numPr>
                <w:ilvl w:val="0"/>
                <w:numId w:val="1"/>
              </w:numPr>
              <w:ind w:left="340" w:right="0" w:hanging="340"/>
              <w:jc w:val="left"/>
              <w:rPr>
                <w:rFonts w:ascii="Noto Sans" w:hAnsi="Noto Sans"/>
                <w:b/>
                <w:b/>
                <w:bCs/>
                <w:sz w:val="20"/>
                <w:szCs w:val="20"/>
              </w:rPr>
            </w:pPr>
            <w:r>
              <w:rPr>
                <w:rStyle w:val="Fuentedeprrafopredeter"/>
                <w:rFonts w:ascii="Noto Sans" w:hAnsi="Noto Sans"/>
                <w:b w:val="false"/>
                <w:bCs w:val="false"/>
                <w:color w:val="auto"/>
                <w:sz w:val="18"/>
                <w:szCs w:val="18"/>
                <w:lang w:val="es-ES" w:eastAsia="zh-CN"/>
              </w:rPr>
              <w:t xml:space="preserve">Deben participar </w:t>
            </w:r>
            <w:r>
              <w:rPr>
                <w:rStyle w:val="Fuentedeprrafopredeter"/>
                <w:rFonts w:ascii="Noto Sans" w:hAnsi="Noto Sans"/>
                <w:b/>
                <w:bCs/>
                <w:color w:val="auto"/>
                <w:sz w:val="18"/>
                <w:szCs w:val="18"/>
                <w:lang w:val="es-ES" w:eastAsia="zh-CN"/>
              </w:rPr>
              <w:t xml:space="preserve">profesionales de fuera </w:t>
            </w:r>
            <w:r>
              <w:rPr>
                <w:rStyle w:val="Fuentedeprrafopredeter"/>
                <w:rFonts w:ascii="Noto Sans" w:hAnsi="Noto Sans"/>
                <w:b w:val="false"/>
                <w:bCs w:val="false"/>
                <w:color w:val="auto"/>
                <w:sz w:val="18"/>
                <w:szCs w:val="18"/>
                <w:lang w:val="es-ES" w:eastAsia="zh-CN"/>
              </w:rPr>
              <w:t>y artistas de Baleares, deben estar abiertas al público profesional balear.</w:t>
            </w:r>
            <w:r>
              <w:rPr>
                <w:rFonts w:ascii="Noto Sans" w:hAnsi="Noto Sans"/>
                <w:b/>
                <w:bCs/>
                <w:color w:val="auto"/>
                <w:sz w:val="22"/>
                <w:szCs w:val="22"/>
                <w:highlight w:val="white"/>
                <w:lang w:val="es-ES" w:eastAsia="zh-CN"/>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eastAsia="zh-CN"/>
              </w:rPr>
            </w:pPr>
            <w:r>
              <w:rPr>
                <w:rFonts w:ascii="Noto Sans" w:hAnsi="Noto Sans"/>
                <w:sz w:val="20"/>
                <w:szCs w:val="20"/>
                <w:lang w:val="es-ES" w:eastAsia="zh-CN"/>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before="285" w:after="285"/>
              <w:jc w:val="left"/>
              <w:rPr/>
            </w:pPr>
            <w:r>
              <w:rPr>
                <w:rFonts w:ascii="Noto Sans" w:hAnsi="Noto Sans"/>
                <w:b/>
                <w:bCs/>
                <w:sz w:val="22"/>
                <w:szCs w:val="22"/>
                <w:lang w:val="es-ES" w:eastAsia="zh-CN"/>
              </w:rPr>
              <w:t>Para optar a subvención es necesario que los eventos tengan programados, como mínimo, un 30%</w:t>
            </w:r>
            <w:r>
              <w:rPr>
                <w:rStyle w:val="Ncoradenotaalpeu"/>
                <w:rStyle w:val="Ncoradenotaalpeu"/>
                <w:rFonts w:ascii="Noto Sans" w:hAnsi="Noto Sans"/>
                <w:b/>
                <w:bCs/>
                <w:sz w:val="22"/>
                <w:szCs w:val="22"/>
                <w:lang w:val="es-ES" w:eastAsia="zh-CN"/>
              </w:rPr>
              <w:footnoteReference w:id="3"/>
            </w:r>
            <w:r>
              <w:rPr>
                <w:rFonts w:ascii="Noto Sans" w:hAnsi="Noto Sans"/>
                <w:b/>
                <w:bCs/>
                <w:sz w:val="22"/>
                <w:szCs w:val="22"/>
                <w:lang w:val="es-ES" w:eastAsia="zh-CN"/>
              </w:rPr>
              <w:t xml:space="preserve"> de artistas y agentes culturales de las Illes Balears, que estos profesionales sean remunerados y que tengan presencia la comunicación del evento y en el cartel principal.</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eastAsia="zh-CN"/>
              </w:rPr>
            </w:pPr>
            <w:r>
              <w:rPr>
                <w:rFonts w:ascii="Noto Sans" w:hAnsi="Noto Sans"/>
                <w:b/>
                <w:bCs/>
                <w:sz w:val="22"/>
                <w:szCs w:val="22"/>
                <w:lang w:val="es-ES" w:eastAsia="zh-CN"/>
              </w:rPr>
              <w:t>Programación completa del evento especificando qué artistas son de las Islas Baleares y cuáles son de fuera</w:t>
            </w:r>
          </w:p>
          <w:p>
            <w:pPr>
              <w:pStyle w:val="Normal"/>
              <w:jc w:val="left"/>
              <w:rPr>
                <w:rFonts w:ascii="Noto Sans" w:hAnsi="Noto Sans"/>
                <w:b/>
                <w:b/>
                <w:bCs/>
                <w:sz w:val="22"/>
                <w:szCs w:val="22"/>
              </w:rPr>
            </w:pPr>
            <w:r>
              <w:rPr>
                <w:lang w:val="es-ES" w:eastAsia="zh-CN"/>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lang w:val="es-ES" w:eastAsia="zh-CN"/>
              </w:rPr>
            </w:pPr>
            <w:r>
              <w:rPr>
                <w:rFonts w:ascii="Noto Sans" w:hAnsi="Noto Sans"/>
                <w:sz w:val="22"/>
                <w:szCs w:val="22"/>
                <w:lang w:val="es-ES" w:eastAsia="zh-CN"/>
              </w:rPr>
            </w:r>
          </w:p>
          <w:p>
            <w:pPr>
              <w:pStyle w:val="Normal"/>
              <w:rPr>
                <w:rFonts w:ascii="Noto Sans" w:hAnsi="Noto Sans"/>
                <w:sz w:val="22"/>
                <w:szCs w:val="22"/>
                <w:lang w:val="es-ES" w:eastAsia="zh-CN"/>
              </w:rPr>
            </w:pPr>
            <w:r>
              <w:rPr>
                <w:rFonts w:ascii="Noto Sans" w:hAnsi="Noto Sans"/>
                <w:sz w:val="22"/>
                <w:szCs w:val="22"/>
                <w:lang w:val="es-ES" w:eastAsia="zh-CN"/>
              </w:rPr>
            </w:r>
          </w:p>
          <w:p>
            <w:pPr>
              <w:pStyle w:val="Normal"/>
              <w:rPr>
                <w:rFonts w:ascii="Noto Sans" w:hAnsi="Noto Sans"/>
                <w:sz w:val="22"/>
                <w:szCs w:val="22"/>
                <w:lang w:val="es-ES" w:eastAsia="zh-CN"/>
              </w:rPr>
            </w:pPr>
            <w:r>
              <w:rPr>
                <w:rFonts w:ascii="Noto Sans" w:hAnsi="Noto Sans"/>
                <w:sz w:val="22"/>
                <w:szCs w:val="22"/>
                <w:lang w:val="es-ES" w:eastAsia="zh-CN"/>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0"/>
              </w:numPr>
              <w:spacing w:lineRule="auto" w:line="276" w:before="0" w:after="0"/>
              <w:ind w:left="0" w:hanging="0"/>
              <w:rPr/>
            </w:pPr>
            <w:r>
              <w:rPr>
                <w:rStyle w:val="Fuentedeprrafopredeter"/>
                <w:rFonts w:ascii="Noto Sans" w:hAnsi="Noto Sans"/>
                <w:b/>
                <w:bCs/>
                <w:color w:val="auto"/>
                <w:sz w:val="22"/>
                <w:szCs w:val="22"/>
                <w:lang w:val="es-ES" w:eastAsia="zh-CN"/>
              </w:rPr>
              <w:t xml:space="preserve">En el caso de eventos de la modalidad </w:t>
            </w:r>
            <w:r>
              <w:rPr>
                <w:rStyle w:val="Fuentedeprrafopredeter"/>
                <w:rFonts w:ascii="Noto Sans" w:hAnsi="Noto Sans"/>
                <w:b/>
                <w:bCs/>
                <w:color w:val="auto"/>
                <w:sz w:val="22"/>
                <w:szCs w:val="22"/>
                <w:u w:val="single"/>
                <w:lang w:val="es-ES" w:eastAsia="zh-CN"/>
              </w:rPr>
              <w:t xml:space="preserve">i) Ciclos de conciertos de orquestas profesionales y temporada lírica, </w:t>
            </w:r>
            <w:r>
              <w:rPr>
                <w:rStyle w:val="Fuentedeprrafopredeter"/>
                <w:rFonts w:ascii="Noto Sans" w:hAnsi="Noto Sans"/>
                <w:b/>
                <w:bCs/>
                <w:color w:val="auto"/>
                <w:sz w:val="22"/>
                <w:szCs w:val="22"/>
                <w:lang w:val="es-ES" w:eastAsia="zh-CN"/>
              </w:rPr>
              <w:t>además de cumplir las condiciones generales establecidas anteriormente, deben tener un mínimo de 7 conciertos, que supongan al menos 3 programas diferentes</w:t>
            </w:r>
          </w:p>
          <w:p>
            <w:pPr>
              <w:pStyle w:val="Normal"/>
              <w:numPr>
                <w:ilvl w:val="0"/>
                <w:numId w:val="0"/>
              </w:numPr>
              <w:spacing w:lineRule="auto" w:line="276" w:before="0" w:after="0"/>
              <w:ind w:left="0" w:hanging="0"/>
              <w:jc w:val="right"/>
              <w:rPr/>
            </w:pPr>
            <w:r>
              <w:rPr>
                <w:rStyle w:val="Fuentedeprrafopredeter"/>
                <w:rFonts w:ascii="Noto Sans" w:hAnsi="Noto Sans"/>
                <w:b/>
                <w:bCs/>
                <w:i/>
                <w:iCs/>
                <w:color w:val="auto"/>
                <w:sz w:val="18"/>
                <w:szCs w:val="18"/>
                <w:lang w:val="es-ES" w:eastAsia="zh-CN"/>
              </w:rPr>
              <w:t>*</w:t>
            </w:r>
            <w:r>
              <w:rPr>
                <w:rStyle w:val="Fuentedeprrafopredeter"/>
                <w:rFonts w:ascii="Noto Sans" w:hAnsi="Noto Sans"/>
                <w:b/>
                <w:bCs/>
                <w:i/>
                <w:iCs/>
                <w:color w:val="auto"/>
                <w:sz w:val="18"/>
                <w:szCs w:val="18"/>
                <w:lang w:val="es-ES" w:eastAsia="zh-CN"/>
              </w:rPr>
              <w:t>Si no es de la modalidad i) dejar en blanco</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lang w:val="es-ES" w:eastAsia="zh-CN"/>
              </w:rPr>
            </w:pPr>
            <w:r>
              <w:rPr>
                <w:rFonts w:ascii="Noto Sans" w:hAnsi="Noto Sans"/>
                <w:sz w:val="22"/>
                <w:szCs w:val="22"/>
                <w:lang w:val="es-ES" w:eastAsia="zh-CN"/>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lang w:val="es-ES" w:eastAsia="zh-CN"/>
              </w:rPr>
              <w:t>*No son objeto de esta convocatoria y, por tanto, quedan excluidos: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Los eventos que se lleven a cabo por primera vez o los que no se hayan cumplido un mínimo de 3 veces en los últimos 5 años.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Los ciclos de conciertos de un mismo artista o grupo musical y las temporadas teatrales de un solo artista.</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Las programaciones estables de un espacio de exhibición.</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es-ES" w:eastAsia="zh-CN"/>
              </w:rPr>
              <w:t>Las programaciones y eventos que duren todo el año.</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es-ES" w:eastAsia="zh-CN"/>
              </w:rPr>
              <w:t>Las actividades de clubes deportivos.</w:t>
            </w:r>
          </w:p>
          <w:p>
            <w:pPr>
              <w:pStyle w:val="Normal"/>
              <w:numPr>
                <w:ilvl w:val="0"/>
                <w:numId w:val="2"/>
              </w:numPr>
              <w:tabs>
                <w:tab w:val="clear" w:pos="936"/>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es-ES" w:eastAsia="zh-CN"/>
              </w:rPr>
              <w:t>No pueden subvencionarse proyectos que vulneren los derechos de los colectivos LGTBI, los derechos de las mujeres o los derechos humanos.</w:t>
            </w:r>
          </w:p>
          <w:p>
            <w:pPr>
              <w:pStyle w:val="Normal"/>
              <w:numPr>
                <w:ilvl w:val="0"/>
                <w:numId w:val="0"/>
              </w:numPr>
              <w:tabs>
                <w:tab w:val="clear" w:pos="936"/>
                <w:tab w:val="left" w:pos="-338" w:leader="none"/>
              </w:tabs>
              <w:spacing w:lineRule="auto" w:line="240"/>
              <w:ind w:left="720" w:hanging="0"/>
              <w:rPr>
                <w:lang w:val="es-ES" w:eastAsia="zh-CN"/>
              </w:rPr>
            </w:pPr>
            <w:r>
              <w:rPr>
                <w:lang w:val="es-ES" w:eastAsia="zh-CN"/>
              </w:rPr>
            </w:r>
          </w:p>
          <w:p>
            <w:pPr>
              <w:pStyle w:val="Normal"/>
              <w:widowControl/>
              <w:numPr>
                <w:ilvl w:val="0"/>
                <w:numId w:val="0"/>
              </w:numPr>
              <w:tabs>
                <w:tab w:val="clear" w:pos="936"/>
                <w:tab w:val="left" w:pos="570" w:leader="none"/>
              </w:tabs>
              <w:overflowPunct w:val="true"/>
              <w:spacing w:lineRule="auto" w:line="240" w:before="0" w:after="0"/>
              <w:ind w:left="794" w:right="0" w:hanging="0"/>
              <w:jc w:val="left"/>
              <w:rPr>
                <w:rFonts w:ascii="Noto Sans" w:hAnsi="Noto Sans"/>
                <w:b/>
                <w:b/>
                <w:bCs/>
                <w:color w:val="000000"/>
                <w:sz w:val="20"/>
                <w:szCs w:val="20"/>
              </w:rPr>
            </w:pPr>
            <w:r>
              <w:rPr>
                <w:lang w:val="es-ES" w:eastAsia="zh-CN"/>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55pt;height:7.3pt" type="#shapetype_75"/>
                <w:control r:id="rId2" w:name="mallorca" w:shapeid="control_shape_0"/>
              </w:object>
            </w:r>
            <w:r>
              <w:rPr>
                <w:rFonts w:eastAsia="NSimSun" w:cs="Arial" w:ascii="Noto Sans" w:hAnsi="Noto Sans"/>
                <w:b/>
                <w:bCs/>
                <w:color w:val="000000"/>
                <w:kern w:val="2"/>
                <w:sz w:val="20"/>
                <w:szCs w:val="20"/>
                <w:lang w:val="es-ES" w:eastAsia="zh-CN" w:bidi="ar-SA"/>
              </w:rPr>
              <w:t xml:space="preserve"> </w:t>
            </w:r>
            <w:r>
              <w:rPr>
                <w:rFonts w:eastAsia="NSimSun" w:cs="Arial" w:ascii="Noto Sans" w:hAnsi="Noto Sans"/>
                <w:b/>
                <w:bCs/>
                <w:color w:val="000000"/>
                <w:kern w:val="2"/>
                <w:sz w:val="20"/>
                <w:szCs w:val="20"/>
                <w:lang w:val="es-ES" w:eastAsia="zh-CN"/>
              </w:rPr>
              <w:t>Declaro que el evento objeto de subvención no entra dentro de estas exclusiones.</w:t>
            </w:r>
          </w:p>
        </w:tc>
      </w:tr>
    </w:tbl>
    <w:p>
      <w:pPr>
        <w:pStyle w:val="Cosdeltext"/>
        <w:jc w:val="center"/>
        <w:rPr>
          <w:b/>
          <w:b/>
          <w:bCs/>
        </w:rPr>
      </w:pPr>
      <w:r>
        <w:rPr>
          <w:b/>
          <w:bCs/>
        </w:rPr>
      </w:r>
      <w:r>
        <w:br w:type="page"/>
      </w:r>
    </w:p>
    <w:p>
      <w:pPr>
        <w:pStyle w:val="Cosdeltext"/>
        <w:jc w:val="center"/>
        <w:rPr>
          <w:rFonts w:ascii="Noto Sans" w:hAnsi="Noto Sans"/>
          <w:sz w:val="28"/>
          <w:szCs w:val="28"/>
        </w:rPr>
      </w:pPr>
      <w:r>
        <w:rPr>
          <w:rFonts w:ascii="Noto Sans" w:hAnsi="Noto Sans"/>
          <w:b/>
          <w:bCs/>
          <w:sz w:val="28"/>
          <w:szCs w:val="28"/>
        </w:rPr>
        <w:t>Memoria del proyecto</w:t>
      </w:r>
      <w:r>
        <w:rPr>
          <w:rStyle w:val="Ncoradenotaalpeu"/>
          <w:rStyle w:val="Ncoradenotaalpeu"/>
          <w:rFonts w:ascii="Noto Sans" w:hAnsi="Noto Sans"/>
          <w:b/>
          <w:bCs/>
          <w:sz w:val="28"/>
          <w:szCs w:val="28"/>
        </w:rPr>
        <w:footnoteReference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OBJETIVOS GENERALES DEL PROYECTO</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bl>
    <w:p>
      <w:pPr>
        <w:pStyle w:val="Normal"/>
        <w:numPr>
          <w:ilvl w:val="0"/>
          <w:numId w:val="0"/>
        </w:numPr>
        <w:spacing w:lineRule="auto" w:line="276" w:before="0" w:after="0"/>
        <w:ind w:left="0" w:hanging="0"/>
        <w:rPr>
          <w:rFonts w:eastAsia="Times New Roman"/>
          <w:b/>
          <w:b/>
          <w:bCs/>
          <w:color w:val="auto"/>
          <w:sz w:val="22"/>
          <w:szCs w:val="22"/>
          <w:lang w:val="ca-ES" w:eastAsia="es-ES"/>
        </w:rPr>
      </w:pPr>
      <w:r>
        <w:rPr>
          <w:rFonts w:eastAsia="Times New Roman"/>
          <w:b/>
          <w:bCs/>
          <w:color w:val="auto"/>
          <w:sz w:val="22"/>
          <w:szCs w:val="22"/>
          <w:lang w:val="ca-ES" w:eastAsia="es-ES"/>
        </w:rPr>
      </w:r>
    </w:p>
    <w:p>
      <w:pPr>
        <w:pStyle w:val="Normal"/>
        <w:numPr>
          <w:ilvl w:val="0"/>
          <w:numId w:val="0"/>
        </w:numPr>
        <w:spacing w:lineRule="auto" w:line="276" w:before="0" w:after="0"/>
        <w:ind w:left="0" w:hanging="0"/>
        <w:rPr>
          <w:rFonts w:ascii="Noto Sans" w:hAnsi="Noto Sans"/>
        </w:rPr>
      </w:pPr>
      <w:r>
        <w:rPr>
          <w:rFonts w:eastAsia="Times New Roman" w:ascii="Noto Sans" w:hAnsi="Noto Sans"/>
          <w:b/>
          <w:bCs/>
          <w:color w:val="auto"/>
          <w:sz w:val="22"/>
          <w:szCs w:val="22"/>
          <w:lang w:val="ca-ES" w:eastAsia="es-ES"/>
        </w:rPr>
        <w:t xml:space="preserve">12.1. </w:t>
      </w:r>
      <w:r>
        <w:rPr>
          <w:rFonts w:eastAsia="Times New Roman" w:ascii="Noto Sans" w:hAnsi="Noto Sans"/>
          <w:b/>
          <w:bCs/>
          <w:i/>
          <w:iCs/>
          <w:color w:val="auto"/>
          <w:sz w:val="22"/>
          <w:szCs w:val="22"/>
          <w:lang w:val="ca-ES" w:eastAsia="es-ES"/>
        </w:rPr>
        <w:t xml:space="preserve">a) </w:t>
      </w:r>
      <w:r>
        <w:rPr>
          <w:rFonts w:eastAsia="Times New Roman" w:ascii="Noto Sans" w:hAnsi="Noto Sans"/>
          <w:b/>
          <w:bCs/>
          <w:color w:val="auto"/>
          <w:sz w:val="22"/>
          <w:szCs w:val="22"/>
          <w:lang w:val="ca-ES" w:eastAsia="es-ES"/>
        </w:rPr>
        <w:t>Valoración general del proyecto (hasta 65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La programación oficial combina artistas de más de una isla.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Incluye programación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La programación combina a artistas emergentes y consolidados.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fomenta la profesionalización de los artistas baleares contratados.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 PROFESIONAL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Trayectoria de los ponentes e invitados</w:t>
            </w:r>
          </w:p>
          <w:p>
            <w:pPr>
              <w:pStyle w:val="Normal"/>
              <w:jc w:val="left"/>
              <w:rPr>
                <w:rFonts w:ascii="Noto Sans" w:hAnsi="Noto Sans"/>
                <w:b w:val="false"/>
                <w:b w:val="false"/>
                <w:bCs w:val="false"/>
                <w:sz w:val="18"/>
                <w:szCs w:val="20"/>
              </w:rPr>
            </w:pPr>
            <w:r>
              <w:rPr>
                <w:rFonts w:ascii="Noto Sans" w:hAnsi="Noto Sans"/>
                <w:b w:val="false"/>
                <w:bCs w:val="false"/>
                <w:sz w:val="18"/>
                <w:szCs w:val="20"/>
              </w:rPr>
            </w:r>
          </w:p>
          <w:p>
            <w:pPr>
              <w:pStyle w:val="Normal"/>
              <w:jc w:val="left"/>
              <w:rPr>
                <w:rFonts w:ascii="Noto Sans" w:hAnsi="Noto Sans"/>
                <w:b w:val="false"/>
                <w:b w:val="false"/>
                <w:bCs w:val="false"/>
                <w:sz w:val="20"/>
                <w:szCs w:val="20"/>
              </w:rPr>
            </w:pPr>
            <w:r>
              <w:rPr>
                <w:rFonts w:ascii="Noto Sans" w:hAnsi="Noto Sans"/>
                <w:b w:val="false"/>
                <w:bCs w:val="false"/>
                <w:sz w:val="20"/>
                <w:szCs w:val="20"/>
              </w:rPr>
              <w:t>Lista de los profesionales acreditados asistentes (programadores, distribuidores, productores, gestores y mediadores culturales, comisarios, críticos, etc.), en los que se distingan de forma clara los que son de fuera de las Islas Baleares.</w:t>
            </w:r>
          </w:p>
          <w:p>
            <w:pPr>
              <w:pStyle w:val="Normal"/>
              <w:jc w:val="right"/>
              <w:rPr>
                <w:rFonts w:ascii="Noto Sans" w:hAnsi="Noto Sans"/>
                <w:sz w:val="16"/>
              </w:rPr>
            </w:pPr>
            <w:r>
              <w:rPr>
                <w:rFonts w:ascii="Noto Sans" w:hAnsi="Noto Sans"/>
                <w:b w:val="false"/>
                <w:bCs w:val="false"/>
                <w:i w:val="false"/>
                <w:iCs w:val="false"/>
                <w:sz w:val="16"/>
                <w:szCs w:val="16"/>
              </w:rPr>
              <w:t>* En caso de no disponer de la lista de la edición actual, es necesario adjuntar la de la edición anterior.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Actividades planteadas para profesionales</w:t>
            </w:r>
          </w:p>
          <w:p>
            <w:pPr>
              <w:pStyle w:val="Normal"/>
              <w:rPr>
                <w:rFonts w:ascii="Noto Sans" w:hAnsi="Noto Sans"/>
                <w:b/>
                <w:b/>
                <w:bCs/>
                <w:sz w:val="20"/>
                <w:szCs w:val="20"/>
              </w:rPr>
            </w:pPr>
            <w:r>
              <w:rPr>
                <w:rFonts w:ascii="Noto Sans" w:hAnsi="Noto Sans"/>
                <w:b/>
                <w:bCs/>
                <w:sz w:val="20"/>
                <w:szCs w:val="20"/>
              </w:rPr>
            </w:r>
          </w:p>
          <w:p>
            <w:pPr>
              <w:pStyle w:val="Normal"/>
              <w:rPr>
                <w:rFonts w:ascii="Noto Sans" w:hAnsi="Noto Sans"/>
                <w:b w:val="false"/>
                <w:b w:val="false"/>
                <w:bCs w:val="false"/>
                <w:sz w:val="20"/>
                <w:szCs w:val="20"/>
                <w:u w:val="none"/>
              </w:rPr>
            </w:pPr>
            <w:r>
              <w:rPr>
                <w:rFonts w:ascii="Noto Sans" w:hAnsi="Noto Sans"/>
                <w:b w:val="false"/>
                <w:bCs w:val="false"/>
                <w:sz w:val="20"/>
                <w:szCs w:val="20"/>
                <w:u w:val="none"/>
              </w:rPr>
              <w:t>Adjunta el programa de las Jornadas Profesionales</w:t>
            </w:r>
          </w:p>
          <w:p>
            <w:pPr>
              <w:pStyle w:val="Normal"/>
              <w:rPr>
                <w:rFonts w:ascii="Noto Sans" w:hAnsi="Noto Sans"/>
                <w:b w:val="false"/>
                <w:b w:val="false"/>
                <w:bCs w:val="false"/>
                <w:sz w:val="20"/>
                <w:szCs w:val="20"/>
                <w:u w:val="none"/>
              </w:rPr>
            </w:pPr>
            <w:r>
              <w:rPr>
                <w:rFonts w:ascii="Noto Sans" w:hAnsi="Noto Sans"/>
                <w:b w:val="false"/>
                <w:bCs w:val="false"/>
                <w:sz w:val="20"/>
                <w:szCs w:val="20"/>
                <w:u w:val="none"/>
              </w:rPr>
            </w:r>
          </w:p>
          <w:p>
            <w:pPr>
              <w:pStyle w:val="Normal"/>
              <w:jc w:val="right"/>
              <w:rPr>
                <w:rFonts w:ascii="Noto Sans" w:hAnsi="Noto Sans"/>
                <w:b w:val="false"/>
                <w:b w:val="false"/>
                <w:bCs w:val="false"/>
                <w:sz w:val="16"/>
                <w:szCs w:val="20"/>
                <w:u w:val="none"/>
              </w:rPr>
            </w:pPr>
            <w:r>
              <w:rPr>
                <w:rFonts w:ascii="Noto Sans" w:hAnsi="Noto Sans"/>
                <w:b w:val="false"/>
                <w:bCs w:val="false"/>
                <w:i w:val="false"/>
                <w:iCs w:val="false"/>
                <w:sz w:val="16"/>
                <w:szCs w:val="16"/>
                <w:u w:val="none"/>
              </w:rPr>
              <w:t>* En caso de no disponer del programa de este año, es necesario adjuntar la de la edición anterior y una previsión de las actividades previstas para 2025.</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cuenta con un plan de comunicación de alcance nacional y/o internacional.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0"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Proyección nacional o internacional del proyecto y repercusión en los artistas baleares.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rPr>
              <w:t>El evento logra la proyección exterior de los artistas baleares: intercambios de artistas baleares con otros eventos similares, consigue contratación de los artistas baleares para tocar fuera de la isla de residencia...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ca-ES" w:eastAsia="en-US"/>
              </w:rPr>
              <w:t>Creación de audiencias.</w:t>
            </w:r>
          </w:p>
          <w:p>
            <w:pPr>
              <w:pStyle w:val="Normal"/>
              <w:widowControl/>
              <w:suppressAutoHyphens w:val="true"/>
              <w:spacing w:lineRule="auto" w:line="276" w:before="57" w:after="57"/>
              <w:ind w:left="0" w:right="0" w:hanging="0"/>
              <w:jc w:val="left"/>
              <w:rPr>
                <w:rFonts w:ascii="Noto Sans" w:hAnsi="Noto Sans" w:eastAsia="Noto Sans" w:cs="Noto Sans"/>
                <w:b w:val="false"/>
                <w:b w:val="false"/>
                <w:bCs w:val="false"/>
                <w:color w:val="auto"/>
                <w:sz w:val="20"/>
                <w:szCs w:val="20"/>
                <w:highlight w:val="white"/>
                <w:lang w:val="ca-ES" w:eastAsia="en-US"/>
              </w:rPr>
            </w:pPr>
            <w:r>
              <w:rPr>
                <w:rFonts w:eastAsia="Noto Sans" w:cs="Noto Sans" w:ascii="Noto Sans" w:hAnsi="Noto Sans"/>
                <w:b w:val="false"/>
                <w:bCs w:val="false"/>
                <w:i w:val="false"/>
                <w:strike w:val="false"/>
                <w:dstrike w:val="false"/>
                <w:outline w:val="false"/>
                <w:shadow w:val="false"/>
                <w:color w:val="auto"/>
                <w:sz w:val="20"/>
                <w:szCs w:val="20"/>
                <w:highlight w:val="white"/>
                <w:u w:val="none"/>
                <w:em w:val="none"/>
                <w:lang w:val="ca-ES" w:eastAsia="en-US"/>
              </w:rPr>
              <w:t>Se valoran los indicadores de espectadores y asistentes.</w:t>
            </w:r>
          </w:p>
          <w:p>
            <w:pPr>
              <w:pStyle w:val="Normal"/>
              <w:widowControl/>
              <w:suppressAutoHyphens w:val="true"/>
              <w:spacing w:lineRule="auto" w:line="276" w:before="57" w:after="57"/>
              <w:ind w:left="0" w:right="0" w:hanging="0"/>
              <w:jc w:val="left"/>
              <w:rPr>
                <w:rFonts w:ascii="Noto Sans" w:hAnsi="Noto Sans" w:eastAsia="Noto Sans" w:cs="Noto Sans"/>
                <w:b w:val="false"/>
                <w:b w:val="false"/>
                <w:bCs w:val="false"/>
                <w:color w:val="auto"/>
                <w:sz w:val="20"/>
                <w:szCs w:val="20"/>
                <w:highlight w:val="white"/>
                <w:lang w:val="ca-ES" w:eastAsia="en-US"/>
              </w:rPr>
            </w:pPr>
            <w:r>
              <w:rPr>
                <w:rFonts w:eastAsia="Noto Sans" w:cs="Noto Sans" w:ascii="Noto Sans" w:hAnsi="Noto Sans"/>
                <w:b w:val="false"/>
                <w:bCs w:val="false"/>
                <w:i w:val="false"/>
                <w:strike w:val="false"/>
                <w:dstrike w:val="false"/>
                <w:outline w:val="false"/>
                <w:shadow w:val="false"/>
                <w:color w:val="auto"/>
                <w:sz w:val="20"/>
                <w:szCs w:val="20"/>
                <w:highlight w:val="white"/>
                <w:u w:val="none"/>
                <w:em w:val="none"/>
                <w:lang w:val="ca-ES" w:eastAsia="en-US"/>
              </w:rPr>
              <w:t>Indique si el evento ha aumentado de público a lo largo de las diversas ediciones y las actividades planteadas para llegar a nuevos públicos.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INTERÉS CULTURAL DEL EVENTO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Originalidad y capacidad innovadora del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Calidad del proyecto.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Coherencia en el planteamiento y de los contenidos artísticos y técnicos.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b/>
                <w:b/>
                <w:bCs/>
                <w:i w:val="false"/>
                <w:i w:val="false"/>
                <w:caps w:val="false"/>
                <w:smallCaps w:val="false"/>
                <w:strike w:val="false"/>
                <w:dstrike w:val="false"/>
                <w:color w:val="000000"/>
                <w:position w:val="0"/>
                <w:sz w:val="24"/>
                <w:sz w:val="20"/>
                <w:szCs w:val="20"/>
                <w:u w:val="none"/>
                <w:vertAlign w:val="baseline"/>
              </w:rPr>
            </w:pPr>
            <w:r>
              <w:rPr>
                <w:rFonts w:ascii="Noto Sans" w:hAnsi="Noto Sans"/>
                <w:b/>
                <w:bCs/>
                <w:i w:val="false"/>
                <w:caps w:val="false"/>
                <w:smallCaps w:val="false"/>
                <w:strike w:val="false"/>
                <w:dstrike w:val="false"/>
                <w:color w:val="000000"/>
                <w:position w:val="0"/>
                <w:sz w:val="20"/>
                <w:sz w:val="20"/>
                <w:szCs w:val="20"/>
                <w:u w:val="none"/>
                <w:vertAlign w:val="baseline"/>
              </w:rPr>
              <w:t>Contribución al panorama artístico actual.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rPr>
              <w:t>1 punto por edición hasta un máximo de 5 puntos (sin tener en cuenta la edición actual)</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rPr>
              <w:t xml:space="preserve">Adjunta un </w:t>
            </w:r>
            <w:r>
              <w:rPr>
                <w:rFonts w:eastAsia="Noto Sans" w:cs="Noto Sans" w:ascii="Noto Sans" w:hAnsi="Noto Sans"/>
                <w:b/>
                <w:bCs/>
                <w:i/>
                <w:iCs/>
                <w:sz w:val="20"/>
                <w:szCs w:val="20"/>
                <w:u w:val="single"/>
              </w:rPr>
              <w:t xml:space="preserve">breve </w:t>
            </w:r>
            <w:r>
              <w:rPr>
                <w:rFonts w:eastAsia="Noto Sans" w:cs="Noto Sans" w:ascii="Noto Sans" w:hAnsi="Noto Sans"/>
                <w:b/>
                <w:bCs/>
                <w:i/>
                <w:iCs/>
                <w:sz w:val="20"/>
                <w:szCs w:val="20"/>
              </w:rPr>
              <w:t>resumen de las ediciones anteriores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osdeltext"/>
        <w:rPr>
          <w:rFonts w:ascii="Noto Sans" w:hAnsi="Noto Sans"/>
          <w:b/>
          <w:b/>
          <w:bCs/>
        </w:rPr>
      </w:pPr>
      <w:r>
        <w:rPr>
          <w:rFonts w:ascii="Noto Sans" w:hAnsi="Noto Sans"/>
          <w:b/>
          <w:bCs/>
        </w:rPr>
      </w:r>
    </w:p>
    <w:p>
      <w:pPr>
        <w:pStyle w:val="Cosdeltext"/>
        <w:rPr>
          <w:rFonts w:ascii="Noto Sans" w:hAnsi="Noto Sans"/>
          <w:b/>
          <w:b/>
          <w:bCs/>
        </w:rPr>
      </w:pPr>
      <w:r>
        <w:rPr>
          <w:rFonts w:ascii="Noto Sans" w:hAnsi="Noto Sans"/>
          <w:b/>
          <w:bCs/>
        </w:rPr>
      </w:r>
    </w:p>
    <w:p>
      <w:pPr>
        <w:pStyle w:val="Cosdeltext"/>
        <w:rPr>
          <w:rFonts w:ascii="Noto Sans" w:hAnsi="Noto Sans"/>
          <w:b/>
          <w:b/>
          <w:bCs/>
        </w:rPr>
      </w:pPr>
      <w:r>
        <w:rPr>
          <w:rFonts w:ascii="Noto Sans" w:hAnsi="Noto Sans"/>
          <w:b/>
          <w:bCs/>
        </w:rPr>
      </w:r>
    </w:p>
    <w:p>
      <w:pPr>
        <w:pStyle w:val="Cosdeltext"/>
        <w:rPr>
          <w:rFonts w:ascii="Noto Sans" w:hAnsi="Noto Sans"/>
          <w:b/>
          <w:b/>
          <w:bCs/>
          <w:sz w:val="22"/>
          <w:szCs w:val="22"/>
        </w:rPr>
      </w:pPr>
      <w:r>
        <w:rPr>
          <w:rFonts w:ascii="Noto Sans" w:hAnsi="Noto Sans"/>
          <w:b/>
          <w:bCs/>
          <w:sz w:val="22"/>
          <w:szCs w:val="22"/>
        </w:rPr>
        <w:t>12.1.b) Sostenibilidad (hasta 35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SOSTENIBILIDAD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Adecuación del presupuesto presentado a la actividad realizada.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Equilibrio entre la financiación pública y privada.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Nivel de ingresos generado por la actividad.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SOSTENIBILIDAD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que favorezcan la reducción de la huella ecológica del evento: baja huella de carbono, compensación de la huella de carbono de los vuelos, no utilización de materiales desechables, gestión sostenible de residuos, acciones para reducir el consumo de agua, mejora de la eficiencia energética, uso de energías renovables, certificación ecológica, certificación ecológica,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SOSTENIBILIDAD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Inclusión de aspectos y/o temáticas relacionadas con la perspectiva de género o la comunidad LGTBQI+.</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dirigidas al fomento de la accesibilidad: mejoras en la accesibilidad de los eventos: uso de bucle magnético, subtitulación, intérpretes de lengua de signos, autodescripción.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Acciones que fomenten la diversidad/interculturalidad dentro del evento: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Proyectos en los que la entidad organizadora cuente con un plan de Igualdad y/o protocolo de prevención y actuación contra el acoso sexual y por razón de género</w:t>
            </w:r>
          </w:p>
          <w:p>
            <w:pPr>
              <w:pStyle w:val="Normal"/>
              <w:jc w:val="right"/>
              <w:rPr>
                <w:rFonts w:ascii="Noto Sans" w:hAnsi="Noto Sans"/>
                <w:b/>
                <w:b/>
                <w:bCs/>
                <w:sz w:val="20"/>
                <w:szCs w:val="20"/>
              </w:rPr>
            </w:pPr>
            <w:r>
              <w:rPr>
                <w:rFonts w:ascii="Noto Sans" w:hAnsi="Noto Sans"/>
                <w:b/>
                <w:bCs/>
                <w:sz w:val="20"/>
                <w:szCs w:val="20"/>
              </w:rPr>
              <w:t xml:space="preserve">* </w:t>
            </w:r>
            <w:r>
              <w:rPr>
                <w:rFonts w:ascii="Noto Sans" w:hAnsi="Noto Sans"/>
                <w:b/>
                <w:bCs/>
                <w:i/>
                <w:iCs/>
                <w:sz w:val="20"/>
                <w:szCs w:val="20"/>
              </w:rPr>
              <w:t>Adjunte el plan de igualdad y/o protocolo como anexo, si procede.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rPr>
              <w:t>Proyectos en los que la presencia de las mujeres es parte fundamental en la programación y en puestos de responsabilidad, de toma de decisiones</w:t>
            </w:r>
          </w:p>
          <w:p>
            <w:pPr>
              <w:pStyle w:val="Normal"/>
              <w:jc w:val="left"/>
              <w:rPr>
                <w:rFonts w:ascii="Noto Sans" w:hAnsi="Noto Sans"/>
                <w:b/>
                <w:b/>
                <w:bCs/>
                <w:sz w:val="20"/>
                <w:szCs w:val="20"/>
              </w:rPr>
            </w:pPr>
            <w:r>
              <w:rPr>
                <w:rFonts w:ascii="Noto Sans" w:hAnsi="Noto Sans"/>
                <w:b/>
                <w:bCs/>
                <w:sz w:val="20"/>
                <w:szCs w:val="20"/>
              </w:rPr>
            </w:r>
          </w:p>
          <w:p>
            <w:pPr>
              <w:pStyle w:val="Normal"/>
              <w:jc w:val="right"/>
              <w:rPr>
                <w:rFonts w:ascii="Noto Sans" w:hAnsi="Noto Sans"/>
                <w:b/>
                <w:b/>
                <w:bCs/>
                <w:sz w:val="16"/>
                <w:szCs w:val="16"/>
              </w:rPr>
            </w:pPr>
            <w:r>
              <w:rPr>
                <w:rFonts w:ascii="Noto Sans" w:hAnsi="Noto Sans"/>
                <w:b/>
                <w:bCs/>
                <w:sz w:val="16"/>
                <w:szCs w:val="16"/>
              </w:rPr>
              <w:t>* Hay que especificar el porcentaje de mujeres dentro del programa artístico y dentro del equipo organizador e indicar la actividad que desarrollan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SOSTENIBILIDAD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 </w:t>
            </w:r>
            <w:r>
              <w:rPr>
                <w:rFonts w:ascii="Noto Sans" w:hAnsi="Noto Sans"/>
                <w:b/>
                <w:bCs/>
                <w:i w:val="false"/>
                <w:strike w:val="false"/>
                <w:dstrike w:val="false"/>
                <w:outline w:val="false"/>
                <w:shadow w:val="false"/>
                <w:color w:val="auto"/>
                <w:spacing w:val="0"/>
                <w:kern w:val="2"/>
                <w:sz w:val="20"/>
                <w:szCs w:val="20"/>
                <w:u w:val="none"/>
                <w:em w:val="none"/>
              </w:rPr>
              <w:t>Proyectos que fomenten el uso del catalán y que utilicen la lengua catalana durante el desarrollo de las actividades.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Uso de la lengua catalana en todos los canales de difusión y comunicación del evento: notas de prensa, anuncios, redes sociales.</w:t>
            </w:r>
          </w:p>
          <w:p>
            <w:pPr>
              <w:pStyle w:val="Normal"/>
              <w:jc w:val="right"/>
              <w:rPr>
                <w:rFonts w:ascii="Noto Sans" w:hAnsi="Noto Sans"/>
                <w:b/>
                <w:b/>
                <w:bCs/>
                <w:i/>
                <w:i/>
                <w:iCs/>
                <w:sz w:val="20"/>
                <w:szCs w:val="20"/>
              </w:rPr>
            </w:pPr>
            <w:r>
              <w:rPr>
                <w:rFonts w:ascii="Noto Sans" w:hAnsi="Noto Sans"/>
                <w:b/>
                <w:bCs/>
                <w:i/>
                <w:iCs/>
                <w:sz w:val="20"/>
                <w:szCs w:val="20"/>
              </w:rPr>
              <w:t>*Adjuntar ejemplos, si procede.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osdeltext"/>
        <w:rPr/>
      </w:pPr>
      <w:r>
        <w:rPr/>
      </w:r>
    </w:p>
    <w:p>
      <w:pPr>
        <w:pStyle w:val="Cosdeltext"/>
        <w:rPr>
          <w:rFonts w:ascii="Noto Sans" w:hAnsi="Noto Sans"/>
          <w:b/>
          <w:b/>
          <w:bCs/>
          <w:sz w:val="22"/>
          <w:szCs w:val="22"/>
        </w:rPr>
      </w:pPr>
      <w:r>
        <w:rPr>
          <w:rFonts w:ascii="Noto Sans" w:hAnsi="Noto Sans"/>
          <w:b/>
          <w:bCs/>
          <w:sz w:val="22"/>
          <w:szCs w:val="22"/>
        </w:rPr>
        <w:t>12.1.c) Puntuación adicional (hasta 15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El evento incluye alguna obra beneficiaria de las convocatorias de ayudas del Instituto de Estudios Baleáricos para apoyar la creación o alguno de los artistas participantes en Fira B! 2023 y 2024.</w:t>
            </w:r>
          </w:p>
          <w:p>
            <w:pPr>
              <w:pStyle w:val="Normal"/>
              <w:rPr>
                <w:rFonts w:ascii="Noto Sans" w:hAnsi="Noto Sans"/>
                <w:b/>
                <w:b/>
                <w:bCs/>
                <w:sz w:val="20"/>
                <w:szCs w:val="20"/>
              </w:rPr>
            </w:pPr>
            <w:r>
              <w:rPr>
                <w:rFonts w:ascii="Noto Sans" w:hAnsi="Noto Sans"/>
                <w:b/>
                <w:bCs/>
                <w:sz w:val="20"/>
                <w:szCs w:val="20"/>
              </w:rPr>
            </w:r>
          </w:p>
          <w:p>
            <w:pPr>
              <w:pStyle w:val="Normal"/>
              <w:jc w:val="right"/>
              <w:rPr/>
            </w:pPr>
            <w:r>
              <w:rPr>
                <w:rFonts w:ascii="Noto Sans" w:hAnsi="Noto Sans"/>
                <w:b/>
                <w:bCs/>
                <w:sz w:val="16"/>
                <w:szCs w:val="16"/>
              </w:rPr>
              <w:t xml:space="preserve">*Puede consultar la web del IEB para conocer a los beneficiarios y </w:t>
            </w:r>
            <w:hyperlink r:id="rId3">
              <w:r>
                <w:rPr>
                  <w:rStyle w:val="EnlladInternet"/>
                  <w:rFonts w:ascii="Noto Sans" w:hAnsi="Noto Sans"/>
                  <w:b/>
                  <w:bCs/>
                  <w:sz w:val="16"/>
                  <w:szCs w:val="16"/>
                </w:rPr>
                <w:t>en la web de Fira B!</w:t>
              </w:r>
            </w:hyperlink>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El evento incluye acciones realizadas por creadores, entidades o colectivos naturales o residentes en Formentera.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EFEMÉRIDAS Y CONMEMORACIONES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 xml:space="preserve">El evento incluye alguna actividad relacionada con el año Llompart, la conmemoración de la edición del libro </w:t>
            </w:r>
            <w:r>
              <w:rPr>
                <w:rFonts w:ascii="Noto Sans" w:hAnsi="Noto Sans"/>
                <w:b/>
                <w:bCs/>
                <w:i/>
                <w:iCs/>
                <w:sz w:val="20"/>
                <w:szCs w:val="20"/>
              </w:rPr>
              <w:t xml:space="preserve">Te deix, amor, el mar como prenda </w:t>
            </w:r>
            <w:r>
              <w:rPr>
                <w:rFonts w:ascii="Noto Sans" w:hAnsi="Noto Sans"/>
                <w:b/>
                <w:bCs/>
                <w:sz w:val="20"/>
                <w:szCs w:val="20"/>
              </w:rPr>
              <w:t>o el centenario de la muerte de Antoni Maura.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pPr>
            <w:r>
              <w:rPr>
                <w:rFonts w:ascii="Noto Sans" w:hAnsi="Noto Sans"/>
                <w:b/>
                <w:bCs/>
                <w:sz w:val="20"/>
                <w:szCs w:val="20"/>
                <w:lang w:val="ca-ES"/>
              </w:rPr>
              <w:t>AUDITORÍA (2 puntos adicionales)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w:pStyle w:val="Cosdeltext"/>
              <w:widowControl/>
              <w:numPr>
                <w:ilvl w:val="0"/>
                <w:numId w:val="0"/>
              </w:numPr>
              <w:spacing w:lineRule="auto" w:line="240" w:before="0" w:after="0"/>
              <w:ind w:left="0" w:right="0" w:hanging="0"/>
              <w:jc w:val="left"/>
              <w:rPr/>
            </w:pPr>
            <w:r>
              <w:rPr>
                <w:rFonts w:ascii="Noto Sans" w:hAnsi="Noto Sans"/>
                <w:sz w:val="20"/>
                <w:szCs w:val="20"/>
                <w:lang w:val="ca-ES" w:bidi="ar-SA"/>
              </w:rPr>
              <w:t xml:space="preserve">De acuerdo con el punto 20.4: En el caso de proyectos que superen las 50 facturas aportadas para realizar la justificación, se recomienda que presenten, </w:t>
            </w:r>
            <w:r>
              <w:rPr>
                <w:rStyle w:val="Fuentedeprrafopredeter"/>
                <w:rFonts w:ascii="Noto Sans" w:hAnsi="Noto Sans"/>
                <w:color w:val="000000"/>
                <w:sz w:val="20"/>
                <w:szCs w:val="20"/>
                <w:lang w:val="ca-ES" w:bidi="ar-SA"/>
              </w:rPr>
              <w:t xml:space="preserve">junto con la memoria económica justificativa mencionada, un informe firmado por un auditor de cuentas inscrito en el Registro Oficial de Auditores de Cuentas. De esta forma se facilita la tramitación del expediente y se agiliza su pago. El auditor de cuentas debe llevar a cabo la revisión del grado de gasto correspondiente a los trabajos efectuados por personas físicas o jurídicas domiciliadas o con sede permanente en las Illes Balears, así como la revisión de gasto subvencionable, de acuerdo con lo que establece esta convocatoria y las normas de procedimiento. Este informe de auditoría debe seguir el formato y contenido que se establece en el Manual de auditoría, el cual puede descargarse de la web </w:t>
            </w:r>
            <w:hyperlink r:id="rId4">
              <w:r>
                <w:rPr>
                  <w:rStyle w:val="EnlladInternet"/>
                  <w:rFonts w:ascii="Noto Sans" w:hAnsi="Noto Sans"/>
                  <w:i/>
                  <w:iCs/>
                  <w:sz w:val="20"/>
                  <w:szCs w:val="20"/>
                  <w:u w:val="none"/>
                  <w:lang w:val="ca-ES" w:bidi="ar-SA"/>
                </w:rPr>
                <w:t xml:space="preserve">http://www.iebalearics.org </w:t>
              </w:r>
            </w:hyperlink>
            <w:hyperlink r:id="rId5">
              <w:r>
                <w:rPr>
                  <w:rStyle w:val="Fuentedeprrafopredeter"/>
                  <w:rFonts w:ascii="Noto Sans" w:hAnsi="Noto Sans"/>
                  <w:color w:val="000000"/>
                  <w:sz w:val="20"/>
                  <w:szCs w:val="20"/>
                  <w:u w:val="none"/>
                  <w:lang w:val="ca-ES" w:bidi="ar-SA"/>
                </w:rPr>
                <w:t>.</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w:pStyle w:val="LOnormal"/>
              <w:widowControl/>
              <w:spacing w:lineRule="auto" w:line="276" w:before="0" w:after="0"/>
              <w:ind w:left="0" w:right="0" w:hanging="0"/>
              <w:jc w:val="left"/>
              <w:rPr/>
            </w:pPr>
            <w:r>
              <w:rPr/>
              <w:object>
                <v:shape id="control_shape_1" style="width:7.35pt;height:7.1pt" type="#shapetype_75"/>
                <w:control r:id="rId6" w:name="OptionButton3" w:shapeid="control_shape_1"/>
              </w:object>
            </w:r>
            <w:r>
              <w:rPr/>
              <w:t xml:space="preserve"> </w:t>
            </w:r>
            <w:r>
              <w:rPr>
                <w:rFonts w:ascii="Noto Sans" w:hAnsi="Noto Sans"/>
                <w:sz w:val="20"/>
                <w:szCs w:val="20"/>
                <w:lang w:val="ca-ES" w:bidi="ar-SA"/>
              </w:rPr>
              <w:t>Voy a presentar la justificación auditada de acuerdo con el punto 20.4. de la convocatoria*.</w:t>
            </w:r>
          </w:p>
          <w:p>
            <w:pPr>
              <w:pStyle w:val="Cosdeltext"/>
              <w:widowControl/>
              <w:spacing w:lineRule="auto" w:line="288" w:before="0" w:after="83"/>
              <w:ind w:left="0" w:right="0" w:hanging="0"/>
              <w:jc w:val="left"/>
              <w:rPr/>
            </w:pPr>
            <w:r>
              <w:rPr/>
              <w:object>
                <v:shape id="control_shape_2" style="width:7.35pt;height:7.1pt" type="#shapetype_75"/>
                <w:control r:id="rId7" w:name="OptionButton3" w:shapeid="control_shape_2"/>
              </w:object>
            </w:r>
            <w:r>
              <w:rPr/>
              <w:t xml:space="preserve"> </w:t>
            </w:r>
            <w:r>
              <w:rPr>
                <w:rFonts w:eastAsia="Arial" w:cs="Arial" w:ascii="Noto Sans" w:hAnsi="Noto Sans"/>
                <w:color w:val="00000A"/>
                <w:kern w:val="0"/>
                <w:sz w:val="20"/>
                <w:szCs w:val="20"/>
                <w:lang w:val="ca-ES" w:eastAsia="zh-CN" w:bidi="ar-SA"/>
              </w:rPr>
              <w:t>Voy a presentar la justificación sin auditoría.</w:t>
            </w:r>
          </w:p>
          <w:p>
            <w:pPr>
              <w:pStyle w:val="Cosdeltext"/>
              <w:widowControl/>
              <w:spacing w:lineRule="auto" w:line="288" w:before="0" w:after="140"/>
              <w:ind w:left="0" w:right="0" w:hanging="0"/>
              <w:jc w:val="left"/>
              <w:rPr/>
            </w:pPr>
            <w:bookmarkStart w:id="0" w:name="__DdeLink__3818_744621378"/>
            <w:r>
              <w:rPr>
                <w:rFonts w:eastAsia="Arial" w:cs="Arial" w:ascii="Noto Sans" w:hAnsi="Noto Sans"/>
                <w:i/>
                <w:iCs/>
                <w:color w:val="00000A"/>
                <w:kern w:val="0"/>
                <w:sz w:val="20"/>
                <w:szCs w:val="20"/>
                <w:lang w:val="ca-ES" w:eastAsia="zh-CN" w:bidi="ar-SA"/>
              </w:rPr>
              <w:t>*En caso de que se marque esta casilla y finalmente no se presente, se reducirá en un 10 % el importe otorgado.</w:t>
            </w:r>
            <w:bookmarkEnd w:id="0"/>
          </w:p>
        </w:tc>
      </w:tr>
    </w:tbl>
    <w:p>
      <w:pPr>
        <w:pStyle w:val="Normal"/>
        <w:rPr/>
      </w:pPr>
      <w:r>
        <w:rPr/>
      </w:r>
    </w:p>
    <w:sectPr>
      <w:headerReference w:type="default" r:id="rId8"/>
      <w:headerReference w:type="first" r:id="rId9"/>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OpenSymbol">
    <w:altName w:val="Arial Unicode MS"/>
    <w:charset w:val="01"/>
    <w:family w:val="swiss"/>
    <w:pitch w:val="default"/>
  </w:font>
  <w:font w:name="Liberation Sans">
    <w:altName w:val="Arial"/>
    <w:charset w:val="01"/>
    <w:family w:val="swiss"/>
    <w:pitch w:val="default"/>
  </w:font>
  <w:font w:name="LegacySanITCBoo">
    <w:charset w:val="01"/>
    <w:family w:val="swiss"/>
    <w:pitch w:val="default"/>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rFonts w:ascii="Noto Sans" w:hAnsi="Noto Sans"/>
          <w:sz w:val="18"/>
          <w:szCs w:val="18"/>
        </w:rPr>
        <w:tab/>
        <w:t>salvo los proyectos de la línea i), que sólo tendrán que cumplir uno.</w:t>
      </w:r>
    </w:p>
  </w:footnote>
  <w:footnote w:id="3">
    <w:p>
      <w:pPr>
        <w:pStyle w:val="Notaalpeu"/>
        <w:rPr/>
      </w:pPr>
      <w:r>
        <w:rPr>
          <w:rStyle w:val="Carctersdenotaalpeu"/>
        </w:rPr>
        <w:footnoteRef/>
      </w:r>
      <w:r>
        <w:rPr>
          <w:rFonts w:ascii="Noto Sans" w:hAnsi="Noto Sans"/>
          <w:sz w:val="18"/>
          <w:szCs w:val="18"/>
        </w:rPr>
        <w:tab/>
        <w:t>En el caso de eventos del ámbito audiovisual, deben tener programadas al menos dos obras de las Islas Baleares remuneradas y garantizar la presencia de mínimo 3 profesionales baleares del sector audiovisual dentro del marco de las actividades profesionales y que estos profesionales sean remunerados</w:t>
      </w:r>
    </w:p>
  </w:footnote>
  <w:footnote w:id="4">
    <w:p>
      <w:pPr>
        <w:pStyle w:val="Notaalpeu"/>
        <w:rPr/>
      </w:pPr>
      <w:r>
        <w:rPr>
          <w:rStyle w:val="Carctersdenotaalpeu"/>
        </w:rPr>
        <w:footnoteRef/>
      </w:r>
      <w:r>
        <w:rPr>
          <w:rFonts w:ascii="Noto Sans" w:hAnsi="Noto Sans"/>
          <w:sz w:val="18"/>
          <w:szCs w:val="18"/>
        </w:rPr>
        <w:tab/>
        <w:t>Esta memoria servirá para que la comisión evaluadora puntúe el proyecto. Debe detallar toda la información necesaria. Todo lo que no quede especificado y detallado en esta memoria, no valorará. Puede añadir tantas páginas como sea necesario, pero intente responder a todos los apartados en el orden correspondiente.</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1">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936"/>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es" w:eastAsia="zh-CN" w:bidi="hi-IN"/>
    </w:rPr>
  </w:style>
  <w:style w:type="paragraph" w:styleId="Encapalament3">
    <w:name w:val="Heading 3"/>
    <w:basedOn w:val="Encapalament"/>
    <w:next w:val="Cosdeltext"/>
    <w:qFormat/>
    <w:pPr>
      <w:spacing w:before="140" w:after="120"/>
      <w:outlineLvl w:val="2"/>
    </w:pPr>
    <w:rPr>
      <w:rFonts w:ascii="Liberation Serif" w:hAnsi="Liberation Serif" w:eastAsia="NSimSun" w:cs="Arial"/>
      <w:b/>
      <w:bCs/>
      <w:sz w:val="28"/>
      <w:szCs w:val="28"/>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es"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es" w:bidi="ar-SA"/>
    </w:rPr>
  </w:style>
  <w:style w:type="character" w:styleId="ListLabel79">
    <w:name w:val="ListLabel 79"/>
    <w:qFormat/>
    <w:rPr>
      <w:rFonts w:ascii="Noto Sans" w:hAnsi="Noto Sans"/>
      <w:color w:val="000000"/>
      <w:sz w:val="20"/>
      <w:szCs w:val="20"/>
      <w:u w:val="none"/>
      <w:lang w:val="es" w:bidi="ar-SA"/>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ca-ES" w:bidi="ar-SA"/>
    </w:rPr>
  </w:style>
  <w:style w:type="character" w:styleId="ListLabel300">
    <w:name w:val="ListLabel 300"/>
    <w:qFormat/>
    <w:rPr>
      <w:rFonts w:ascii="Noto Sans" w:hAnsi="Noto Sans"/>
      <w:color w:val="000000"/>
      <w:sz w:val="20"/>
      <w:szCs w:val="20"/>
      <w:u w:val="none"/>
      <w:lang w:val="ca-ES" w:bidi="ar-SA"/>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 w:type="paragraph" w:styleId="Capalera">
    <w:name w:val="Header"/>
    <w:basedOn w:val="Normal"/>
    <w:pPr>
      <w:suppressLineNumbers/>
      <w:tabs>
        <w:tab w:val="clear" w:pos="936"/>
        <w:tab w:val="center" w:pos="7285" w:leader="none"/>
        <w:tab w:val="right" w:pos="14570" w:leader="none"/>
      </w:tabs>
    </w:pPr>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www.firab.org/en/programacion/2023/"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control" Target="activeX/activeX2.xml"/><Relationship Id="rId7" Type="http://schemas.openxmlformats.org/officeDocument/2006/relationships/control" Target="activeX/activeX3.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notes" Target="footnotes.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453</TotalTime>
  <Application>LibreOffice/6.1.5.2$Windows_x86 LibreOffice_project/90f8dcf33c87b3705e78202e3df5142b201bd805</Application>
  <Pages>10</Pages>
  <Words>1467</Words>
  <Characters>8117</Characters>
  <CharactersWithSpaces>9490</CharactersWithSpaces>
  <Paragraphs>91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2025-02-26T13:52:46Z</dcterms:modified>
  <cp:revision>24</cp:revision>
  <dc:subject/>
  <dc:title/>
</cp:coreProperties>
</file>