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activeX/activeX1.xml" ContentType="application/vnd.ms-office.activeX+xml"/>
  <Override PartName="/word/activeX/activeX1.bin" ContentType="application/vnd.ms-office.activeX"/>
  <Override PartName="/word/activeX/activeX2.xml" ContentType="application/vnd.ms-office.activeX+xml"/>
  <Override PartName="/word/activeX/activeX2.bin" ContentType="application/vnd.ms-office.activeX"/>
  <Override PartName="/word/activeX/activeX3.xml" ContentType="application/vnd.ms-office.activeX+xml"/>
  <Override PartName="/word/activeX/activeX3.bin" ContentType="application/vnd.ms-office.activeX"/>
  <Override PartName="/word/activeX/_rels/activeX1.xml.rels" ContentType="application/vnd.openxmlformats-package.relationships+xml"/>
  <Override PartName="/word/activeX/_rels/activeX2.xml.rels" ContentType="application/vnd.openxmlformats-package.relationships+xml"/>
  <Override PartName="/word/activeX/_rels/activeX3.xml.rels" ContentType="application/vnd.openxmlformats-package.relationships+xml"/>
  <Override PartName="/word/header1.xml" ContentType="application/vnd.openxmlformats-officedocument.wordprocessingml.header+xml"/>
  <Override PartName="/word/footnotes.xml" ContentType="application/vnd.openxmlformats-officedocument.wordprocessingml.footnotes+xml"/>
  <Override PartName="/word/header2.xml" ContentType="application/vnd.openxmlformats-officedocument.wordprocessingml.header+xml"/>
  <Override PartName="/word/media/image1.png" ContentType="image/png"/>
  <Override PartName="/word/media/image2.png" ContentType="image/png"/>
  <Override PartName="/word/numbering.xml" ContentType="application/vnd.openxmlformats-officedocument.wordprocessingml.numbering+xml"/>
  <Override PartName="/word/settings.xml" ContentType="application/vnd.openxmlformats-officedocument.wordprocessingml.settings+xml"/>
  <Override PartName="/word/_rels/document.xml.rels" ContentType="application/vnd.openxmlformats-package.relationships+xml"/>
  <Override PartName="/word/_rels/header1.xml.rels" ContentType="application/vnd.openxmlformats-package.relationships+xml"/>
  <Override PartName="/word/_rels/header2.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Cosdeltext"/>
        <w:jc w:val="left"/>
        <w:rPr>
          <w:rFonts w:ascii="Noto Sans" w:hAnsi="Noto Sans"/>
          <w:b/>
          <w:b/>
          <w:bCs/>
          <w:sz w:val="28"/>
          <w:szCs w:val="28"/>
          <w:u w:val="single"/>
        </w:rPr>
      </w:pPr>
      <w:r>
        <w:rPr>
          <w:rFonts w:ascii="Noto Sans" w:hAnsi="Noto Sans"/>
          <w:b/>
          <w:bCs/>
          <w:sz w:val="28"/>
          <w:szCs w:val="28"/>
          <w:u w:val="single"/>
        </w:rPr>
      </w:r>
    </w:p>
    <w:p>
      <w:pPr>
        <w:pStyle w:val="Cosdeltext"/>
        <w:jc w:val="left"/>
        <w:rPr>
          <w:rFonts w:ascii="Noto Sans" w:hAnsi="Noto Sans"/>
          <w:b/>
          <w:b/>
          <w:bCs/>
          <w:sz w:val="28"/>
          <w:szCs w:val="28"/>
          <w:u w:val="single"/>
        </w:rPr>
      </w:pPr>
      <w:r>
        <w:rPr>
          <w:rFonts w:ascii="Noto Sans" w:hAnsi="Noto Sans"/>
          <w:b/>
          <w:bCs/>
          <w:sz w:val="28"/>
          <w:szCs w:val="28"/>
          <w:u w:val="single"/>
        </w:rPr>
      </w:r>
    </w:p>
    <w:p>
      <w:pPr>
        <w:pStyle w:val="Cosdeltext"/>
        <w:jc w:val="left"/>
        <w:rPr>
          <w:rFonts w:ascii="Noto Sans" w:hAnsi="Noto Sans"/>
          <w:b/>
          <w:b/>
          <w:bCs/>
          <w:sz w:val="28"/>
          <w:szCs w:val="28"/>
          <w:u w:val="single"/>
        </w:rPr>
      </w:pPr>
      <w:r>
        <w:rPr>
          <w:rFonts w:ascii="Noto Sans" w:hAnsi="Noto Sans"/>
          <w:b/>
          <w:bCs/>
          <w:sz w:val="28"/>
          <w:szCs w:val="28"/>
          <w:u w:val="single"/>
        </w:rPr>
        <w:t>INSTITUT D’ESTUDIS BALEÀRICS</w:t>
      </w:r>
    </w:p>
    <w:p>
      <w:pPr>
        <w:pStyle w:val="Cosdeltext"/>
        <w:jc w:val="left"/>
        <w:rPr>
          <w:rFonts w:ascii="Noto Sans" w:hAnsi="Noto Sans"/>
          <w:b/>
          <w:b/>
          <w:bCs/>
          <w:sz w:val="28"/>
          <w:szCs w:val="28"/>
        </w:rPr>
      </w:pPr>
      <w:r>
        <w:rPr>
          <w:rFonts w:ascii="Noto Sans" w:hAnsi="Noto Sans"/>
          <w:b/>
          <w:bCs/>
          <w:sz w:val="28"/>
          <w:szCs w:val="28"/>
          <w:u w:val="single"/>
        </w:rPr>
        <w:t>FIRES I FESTIVALS 2025</w:t>
      </w:r>
    </w:p>
    <w:p>
      <w:pPr>
        <w:pStyle w:val="Normal"/>
        <w:jc w:val="center"/>
        <w:rPr>
          <w:rFonts w:ascii="Noto Sans" w:hAnsi="Noto Sans"/>
          <w:b/>
          <w:b/>
          <w:bCs/>
          <w:sz w:val="20"/>
          <w:szCs w:val="20"/>
        </w:rPr>
      </w:pPr>
      <w:r>
        <w:rPr>
          <w:rFonts w:ascii="Noto Sans" w:hAnsi="Noto Sans"/>
          <w:b/>
          <w:bCs/>
          <w:sz w:val="20"/>
          <w:szCs w:val="20"/>
        </w:rPr>
        <w:t>ACREDITACIÓ DELS REQUISITS EXIGITS A LA CONVOCATÒRIA</w:t>
      </w:r>
    </w:p>
    <w:tbl>
      <w:tblPr>
        <w:tblW w:w="14573" w:type="dxa"/>
        <w:jc w:val="left"/>
        <w:tblInd w:w="-9"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4838"/>
        <w:gridCol w:w="9734"/>
      </w:tblGrid>
      <w:tr>
        <w:trPr/>
        <w:tc>
          <w:tcPr>
            <w:tcW w:w="1457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Normal"/>
              <w:spacing w:lineRule="auto" w:line="240" w:before="285" w:after="285"/>
              <w:jc w:val="left"/>
              <w:rPr>
                <w:rFonts w:ascii="Noto Sans" w:hAnsi="Noto Sans"/>
                <w:b/>
                <w:b/>
                <w:bCs/>
                <w:color w:val="auto"/>
                <w:sz w:val="22"/>
                <w:szCs w:val="22"/>
              </w:rPr>
            </w:pPr>
            <w:r>
              <w:rPr>
                <w:rFonts w:ascii="Noto Sans" w:hAnsi="Noto Sans"/>
                <w:b/>
                <w:bCs/>
                <w:color w:val="auto"/>
                <w:sz w:val="22"/>
                <w:szCs w:val="22"/>
              </w:rPr>
              <w:t xml:space="preserve">L’activitat objecte de la subvenció ha de tenir com una de les seves finalitats, de manera comprovable, la projecció exterior dels artistes de les Illes Balears. Els esdeveniments, han de complir, com a mínim, </w:t>
            </w:r>
            <w:r>
              <w:rPr>
                <w:rFonts w:ascii="Noto Sans" w:hAnsi="Noto Sans"/>
                <w:b/>
                <w:bCs/>
                <w:color w:val="auto"/>
                <w:sz w:val="22"/>
                <w:szCs w:val="22"/>
                <w:u w:val="single"/>
              </w:rPr>
              <w:t>dos</w:t>
            </w:r>
            <w:r>
              <w:rPr>
                <w:rFonts w:ascii="Noto Sans" w:hAnsi="Noto Sans"/>
                <w:b/>
                <w:bCs/>
                <w:color w:val="auto"/>
                <w:sz w:val="22"/>
                <w:szCs w:val="22"/>
              </w:rPr>
              <w:t xml:space="preserve"> d’aquests requisits</w:t>
            </w:r>
            <w:r>
              <w:rPr>
                <w:rStyle w:val="Ncoradenotaalpeu"/>
                <w:rStyle w:val="Ncoradenotaalpeu"/>
                <w:rFonts w:ascii="Noto Sans" w:hAnsi="Noto Sans"/>
                <w:b/>
                <w:bCs/>
                <w:color w:val="auto"/>
                <w:sz w:val="22"/>
                <w:szCs w:val="22"/>
              </w:rPr>
              <w:footnoteReference w:id="2"/>
            </w:r>
            <w:r>
              <w:rPr>
                <w:rFonts w:ascii="Noto Sans" w:hAnsi="Noto Sans"/>
                <w:b/>
                <w:bCs/>
                <w:color w:val="auto"/>
                <w:sz w:val="22"/>
                <w:szCs w:val="22"/>
              </w:rPr>
              <w:t>:</w:t>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b/>
                <w:bCs/>
                <w:sz w:val="20"/>
                <w:szCs w:val="20"/>
              </w:rPr>
            </w:pPr>
            <w:r>
              <w:rPr>
                <w:rFonts w:ascii="Noto Sans" w:hAnsi="Noto Sans"/>
                <w:b/>
                <w:bCs/>
                <w:sz w:val="20"/>
                <w:szCs w:val="20"/>
              </w:rPr>
              <w:t>Participació i activitat professional de programadors, distribuïdors, productors, gestors i mediadors culturals, comissaris, crítics, etc. de fora de les Illes Balears convidats per l'organització en un nombre mínim de 3.</w:t>
            </w:r>
          </w:p>
          <w:p>
            <w:pPr>
              <w:pStyle w:val="Normal"/>
              <w:rPr>
                <w:rFonts w:ascii="Noto Sans" w:hAnsi="Noto Sans"/>
                <w:b/>
                <w:b/>
                <w:bCs/>
                <w:sz w:val="18"/>
                <w:szCs w:val="18"/>
              </w:rPr>
            </w:pPr>
            <w:r>
              <w:rPr>
                <w:rFonts w:ascii="Noto Sans" w:hAnsi="Noto Sans"/>
                <w:b/>
                <w:bCs/>
                <w:sz w:val="18"/>
                <w:szCs w:val="18"/>
              </w:rPr>
            </w:r>
          </w:p>
          <w:p>
            <w:pPr>
              <w:pStyle w:val="Normal"/>
              <w:jc w:val="left"/>
              <w:rPr>
                <w:rFonts w:ascii="Noto Sans" w:hAnsi="Noto Sans"/>
                <w:b/>
                <w:b/>
                <w:bCs/>
                <w:i/>
                <w:i/>
                <w:iCs/>
                <w:sz w:val="18"/>
                <w:szCs w:val="18"/>
              </w:rPr>
            </w:pPr>
            <w:r>
              <w:rPr>
                <w:rFonts w:ascii="Noto Sans" w:hAnsi="Noto Sans"/>
                <w:b/>
                <w:bCs/>
                <w:i/>
                <w:iCs/>
                <w:sz w:val="18"/>
                <w:szCs w:val="18"/>
              </w:rPr>
              <w:t>–</w:t>
            </w:r>
            <w:r>
              <w:rPr>
                <w:rFonts w:ascii="Noto Sans" w:hAnsi="Noto Sans"/>
                <w:b w:val="false"/>
                <w:bCs w:val="false"/>
                <w:i w:val="false"/>
                <w:iCs w:val="false"/>
                <w:sz w:val="18"/>
                <w:szCs w:val="18"/>
              </w:rPr>
              <w:t xml:space="preserve"> </w:t>
            </w:r>
            <w:r>
              <w:rPr>
                <w:rFonts w:ascii="Noto Sans" w:hAnsi="Noto Sans"/>
                <w:b w:val="false"/>
                <w:bCs w:val="false"/>
                <w:i w:val="false"/>
                <w:iCs w:val="false"/>
                <w:sz w:val="18"/>
                <w:szCs w:val="18"/>
              </w:rPr>
              <w:t>Especificau qui són, la seva procedència, i quina activitat realitzen dins l’esdeveniment.</w:t>
            </w:r>
          </w:p>
          <w:p>
            <w:pPr>
              <w:pStyle w:val="Normal"/>
              <w:jc w:val="left"/>
              <w:rPr>
                <w:rFonts w:ascii="Noto Sans" w:hAnsi="Noto Sans"/>
                <w:b w:val="false"/>
                <w:b w:val="false"/>
                <w:bCs w:val="false"/>
                <w:i w:val="false"/>
                <w:i w:val="false"/>
                <w:iCs w:val="false"/>
                <w:sz w:val="18"/>
                <w:szCs w:val="18"/>
              </w:rPr>
            </w:pPr>
            <w:r>
              <w:rPr>
                <w:rFonts w:ascii="Noto Sans" w:hAnsi="Noto Sans"/>
                <w:b w:val="false"/>
                <w:bCs w:val="false"/>
                <w:i w:val="false"/>
                <w:iCs w:val="false"/>
                <w:sz w:val="18"/>
                <w:szCs w:val="18"/>
              </w:rPr>
              <w:t xml:space="preserve">– </w:t>
            </w:r>
            <w:r>
              <w:rPr>
                <w:rFonts w:ascii="Noto Sans" w:hAnsi="Noto Sans"/>
                <w:b w:val="false"/>
                <w:bCs w:val="false"/>
                <w:i w:val="false"/>
                <w:iCs w:val="false"/>
                <w:sz w:val="18"/>
                <w:szCs w:val="18"/>
              </w:rPr>
              <w:t>Per acreditar el compliment d’aquest requisit, s’han de presentar 3 cartes de compromís de participació signades pels professionals.</w:t>
            </w:r>
          </w:p>
          <w:p>
            <w:pPr>
              <w:pStyle w:val="Normal"/>
              <w:jc w:val="left"/>
              <w:rPr>
                <w:rFonts w:ascii="Noto Sans" w:hAnsi="Noto Sans"/>
                <w:b w:val="false"/>
                <w:b w:val="false"/>
                <w:bCs w:val="false"/>
                <w:i w:val="false"/>
                <w:i w:val="false"/>
                <w:iCs w:val="false"/>
                <w:sz w:val="18"/>
                <w:szCs w:val="18"/>
              </w:rPr>
            </w:pPr>
            <w:r>
              <w:rPr>
                <w:rFonts w:ascii="Noto Sans" w:hAnsi="Noto Sans"/>
                <w:b w:val="false"/>
                <w:bCs w:val="false"/>
                <w:i w:val="false"/>
                <w:iCs w:val="false"/>
                <w:sz w:val="18"/>
                <w:szCs w:val="18"/>
              </w:rPr>
            </w:r>
          </w:p>
          <w:p>
            <w:pPr>
              <w:pStyle w:val="Normal"/>
              <w:jc w:val="left"/>
              <w:rPr>
                <w:rFonts w:ascii="Noto Sans" w:hAnsi="Noto Sans"/>
                <w:b w:val="false"/>
                <w:b w:val="false"/>
                <w:bCs w:val="false"/>
                <w:i w:val="false"/>
                <w:i w:val="false"/>
                <w:iCs w:val="false"/>
                <w:sz w:val="18"/>
                <w:szCs w:val="18"/>
              </w:rPr>
            </w:pPr>
            <w:r>
              <w:rPr>
                <w:rFonts w:ascii="Noto Sans" w:hAnsi="Noto Sans"/>
                <w:b w:val="false"/>
                <w:bCs w:val="false"/>
                <w:i w:val="false"/>
                <w:iCs w:val="false"/>
                <w:sz w:val="18"/>
                <w:szCs w:val="18"/>
              </w:rPr>
            </w:r>
          </w:p>
          <w:p>
            <w:pPr>
              <w:pStyle w:val="Normal"/>
              <w:jc w:val="left"/>
              <w:rPr>
                <w:rFonts w:ascii="Noto Sans" w:hAnsi="Noto Sans"/>
                <w:b w:val="false"/>
                <w:b w:val="false"/>
                <w:bCs w:val="false"/>
                <w:i w:val="false"/>
                <w:i w:val="false"/>
                <w:iCs w:val="false"/>
                <w:sz w:val="18"/>
                <w:szCs w:val="18"/>
              </w:rPr>
            </w:pPr>
            <w:r>
              <w:rPr>
                <w:rFonts w:ascii="Noto Sans" w:hAnsi="Noto Sans"/>
                <w:b w:val="false"/>
                <w:bCs w:val="false"/>
                <w:i w:val="false"/>
                <w:iCs w:val="false"/>
                <w:sz w:val="18"/>
                <w:szCs w:val="18"/>
              </w:rPr>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left"/>
              <w:rPr>
                <w:rFonts w:ascii="Noto Sans" w:hAnsi="Noto Sans"/>
                <w:sz w:val="20"/>
                <w:szCs w:val="20"/>
              </w:rPr>
            </w:pPr>
            <w:r>
              <w:rPr>
                <w:rFonts w:ascii="Noto Sans" w:hAnsi="Noto Sans"/>
                <w:sz w:val="20"/>
                <w:szCs w:val="20"/>
              </w:rPr>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rPr>
            </w:pPr>
            <w:r>
              <w:rPr>
                <w:rFonts w:ascii="Noto Sans" w:hAnsi="Noto Sans"/>
                <w:b/>
                <w:bCs/>
                <w:sz w:val="20"/>
                <w:szCs w:val="20"/>
              </w:rPr>
              <w:t>Participació en algun programa d'intercanvi amb altres esdeveniments similars que garanteixin la presència de la producció cultural de les Illes Balears a l'exterior.</w:t>
            </w:r>
          </w:p>
          <w:p>
            <w:pPr>
              <w:pStyle w:val="Normal"/>
              <w:jc w:val="left"/>
              <w:rPr>
                <w:rFonts w:ascii="Noto Sans" w:hAnsi="Noto Sans"/>
                <w:b/>
                <w:b/>
                <w:bCs/>
                <w:sz w:val="18"/>
                <w:szCs w:val="18"/>
              </w:rPr>
            </w:pPr>
            <w:r>
              <w:rPr>
                <w:rFonts w:ascii="Noto Sans" w:hAnsi="Noto Sans"/>
                <w:b/>
                <w:bCs/>
                <w:sz w:val="18"/>
                <w:szCs w:val="18"/>
              </w:rPr>
            </w:r>
          </w:p>
          <w:p>
            <w:pPr>
              <w:pStyle w:val="Normal"/>
              <w:jc w:val="left"/>
              <w:rPr>
                <w:rFonts w:ascii="Noto Sans" w:hAnsi="Noto Sans"/>
                <w:b/>
                <w:b/>
                <w:bCs/>
                <w:i/>
                <w:i/>
                <w:iCs/>
                <w:sz w:val="18"/>
                <w:szCs w:val="18"/>
              </w:rPr>
            </w:pPr>
            <w:r>
              <w:rPr>
                <w:rFonts w:ascii="Noto Sans" w:hAnsi="Noto Sans"/>
                <w:b w:val="false"/>
                <w:bCs w:val="false"/>
                <w:i w:val="false"/>
                <w:iCs w:val="false"/>
                <w:sz w:val="18"/>
                <w:szCs w:val="18"/>
              </w:rPr>
              <w:t>*</w:t>
            </w:r>
            <w:r>
              <w:rPr>
                <w:rStyle w:val="Fuentedeprrafopredeter"/>
                <w:rFonts w:ascii="Noto Sans" w:hAnsi="Noto Sans"/>
                <w:b w:val="false"/>
                <w:bCs w:val="false"/>
                <w:i w:val="false"/>
                <w:iCs w:val="false"/>
                <w:color w:val="auto"/>
                <w:sz w:val="18"/>
                <w:szCs w:val="18"/>
              </w:rPr>
              <w:t>Per acreditar el compliment d’aquest requisit, s</w:t>
            </w:r>
            <w:r>
              <w:rPr>
                <w:rFonts w:ascii="Noto Sans" w:hAnsi="Noto Sans"/>
                <w:b w:val="false"/>
                <w:bCs w:val="false"/>
                <w:i w:val="false"/>
                <w:iCs w:val="false"/>
                <w:color w:val="auto"/>
                <w:sz w:val="18"/>
                <w:szCs w:val="18"/>
              </w:rPr>
              <w:t>’han de presentar cartes de compromís o un conveni d’intercanvi amb, com a mínim, un esdeveniment similar de fora de les Illes Balears.</w:t>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val="false"/>
                <w:b w:val="false"/>
                <w:bCs w:val="false"/>
                <w:sz w:val="18"/>
                <w:szCs w:val="18"/>
              </w:rPr>
            </w:pPr>
            <w:r>
              <w:rPr>
                <w:rFonts w:ascii="Noto Sans" w:hAnsi="Noto Sans"/>
                <w:b/>
                <w:bCs/>
                <w:sz w:val="20"/>
                <w:szCs w:val="20"/>
              </w:rPr>
              <w:t>Organització, dins el programa de l'esdeveniment, de jornades orientades al públic professional, que han de complir els següents requisits:</w:t>
            </w:r>
          </w:p>
          <w:p>
            <w:pPr>
              <w:pStyle w:val="Normal"/>
              <w:numPr>
                <w:ilvl w:val="0"/>
                <w:numId w:val="1"/>
              </w:numPr>
              <w:ind w:left="340" w:right="0" w:hanging="340"/>
              <w:jc w:val="left"/>
              <w:rPr/>
            </w:pPr>
            <w:r>
              <w:rPr>
                <w:rStyle w:val="Fuentedeprrafopredeter"/>
                <w:rFonts w:ascii="Noto Sans" w:hAnsi="Noto Sans"/>
                <w:b w:val="false"/>
                <w:bCs w:val="false"/>
                <w:color w:val="auto"/>
                <w:sz w:val="18"/>
                <w:szCs w:val="18"/>
              </w:rPr>
              <w:t xml:space="preserve">El programa ha de tenir com a mínim </w:t>
            </w:r>
            <w:r>
              <w:rPr>
                <w:rStyle w:val="Fuentedeprrafopredeter"/>
                <w:rFonts w:ascii="Noto Sans" w:hAnsi="Noto Sans"/>
                <w:b/>
                <w:bCs/>
                <w:color w:val="auto"/>
                <w:sz w:val="18"/>
                <w:szCs w:val="18"/>
              </w:rPr>
              <w:t>3</w:t>
            </w:r>
            <w:r>
              <w:rPr>
                <w:rStyle w:val="Fuentedeprrafopredeter"/>
                <w:rFonts w:ascii="Noto Sans" w:hAnsi="Noto Sans"/>
                <w:b w:val="false"/>
                <w:bCs w:val="false"/>
                <w:color w:val="auto"/>
                <w:sz w:val="18"/>
                <w:szCs w:val="18"/>
              </w:rPr>
              <w:t xml:space="preserve"> activitats diferents.</w:t>
            </w:r>
          </w:p>
          <w:p>
            <w:pPr>
              <w:pStyle w:val="Normal"/>
              <w:numPr>
                <w:ilvl w:val="0"/>
                <w:numId w:val="1"/>
              </w:numPr>
              <w:ind w:left="340" w:right="0" w:hanging="340"/>
              <w:jc w:val="left"/>
              <w:rPr/>
            </w:pPr>
            <w:r>
              <w:rPr>
                <w:rStyle w:val="Fuentedeprrafopredeter"/>
                <w:rFonts w:ascii="Noto Sans" w:hAnsi="Noto Sans"/>
                <w:b w:val="false"/>
                <w:bCs w:val="false"/>
                <w:color w:val="auto"/>
                <w:sz w:val="18"/>
                <w:szCs w:val="18"/>
              </w:rPr>
              <w:t xml:space="preserve">Han d’anar dirigides exclusivament a un </w:t>
            </w:r>
            <w:r>
              <w:rPr>
                <w:rStyle w:val="Fuentedeprrafopredeter"/>
                <w:rFonts w:ascii="Noto Sans" w:hAnsi="Noto Sans"/>
                <w:b/>
                <w:bCs/>
                <w:color w:val="auto"/>
                <w:sz w:val="18"/>
                <w:szCs w:val="18"/>
              </w:rPr>
              <w:t xml:space="preserve">públic professional </w:t>
            </w:r>
            <w:r>
              <w:rPr>
                <w:rStyle w:val="Fuentedeprrafopredeter"/>
                <w:rFonts w:ascii="Noto Sans" w:hAnsi="Noto Sans"/>
                <w:b w:val="false"/>
                <w:bCs w:val="false"/>
                <w:color w:val="auto"/>
                <w:sz w:val="18"/>
                <w:szCs w:val="18"/>
              </w:rPr>
              <w:t xml:space="preserve">i han de ser </w:t>
            </w:r>
            <w:r>
              <w:rPr>
                <w:rStyle w:val="Fuentedeprrafopredeter"/>
                <w:rFonts w:ascii="Noto Sans" w:hAnsi="Noto Sans"/>
                <w:b/>
                <w:bCs/>
                <w:color w:val="auto"/>
                <w:sz w:val="18"/>
                <w:szCs w:val="18"/>
              </w:rPr>
              <w:t>obertes</w:t>
            </w:r>
            <w:r>
              <w:rPr>
                <w:rStyle w:val="Fuentedeprrafopredeter"/>
                <w:rFonts w:ascii="Noto Sans" w:hAnsi="Noto Sans"/>
                <w:b w:val="false"/>
                <w:bCs w:val="false"/>
                <w:color w:val="auto"/>
                <w:sz w:val="18"/>
                <w:szCs w:val="18"/>
              </w:rPr>
              <w:t xml:space="preserve"> perquè s’hi puguin inscriure artistes i professionals balears.</w:t>
            </w:r>
          </w:p>
          <w:p>
            <w:pPr>
              <w:pStyle w:val="Normal"/>
              <w:numPr>
                <w:ilvl w:val="0"/>
                <w:numId w:val="1"/>
              </w:numPr>
              <w:ind w:left="340" w:right="0" w:hanging="340"/>
              <w:jc w:val="left"/>
              <w:rPr/>
            </w:pPr>
            <w:r>
              <w:rPr>
                <w:rStyle w:val="Fuentedeprrafopredeter"/>
                <w:rFonts w:ascii="Noto Sans" w:hAnsi="Noto Sans"/>
                <w:b w:val="false"/>
                <w:bCs w:val="false"/>
                <w:color w:val="auto"/>
                <w:sz w:val="18"/>
                <w:szCs w:val="18"/>
              </w:rPr>
              <w:t xml:space="preserve">Se n’ha de donar </w:t>
            </w:r>
            <w:r>
              <w:rPr>
                <w:rStyle w:val="Fuentedeprrafopredeter"/>
                <w:rFonts w:ascii="Noto Sans" w:hAnsi="Noto Sans"/>
                <w:b/>
                <w:bCs/>
                <w:color w:val="auto"/>
                <w:sz w:val="18"/>
                <w:szCs w:val="18"/>
              </w:rPr>
              <w:t>publicitat</w:t>
            </w:r>
            <w:r>
              <w:rPr>
                <w:rStyle w:val="Fuentedeprrafopredeter"/>
                <w:rFonts w:ascii="Noto Sans" w:hAnsi="Noto Sans"/>
                <w:b w:val="false"/>
                <w:bCs w:val="false"/>
                <w:color w:val="auto"/>
                <w:sz w:val="18"/>
                <w:szCs w:val="18"/>
              </w:rPr>
              <w:t xml:space="preserve"> i ha d’aparèixer la informació a la pàgina web de l’esdeveniment.</w:t>
            </w:r>
          </w:p>
          <w:p>
            <w:pPr>
              <w:pStyle w:val="Normal"/>
              <w:numPr>
                <w:ilvl w:val="0"/>
                <w:numId w:val="1"/>
              </w:numPr>
              <w:ind w:left="340" w:right="0" w:hanging="340"/>
              <w:jc w:val="left"/>
              <w:rPr>
                <w:rFonts w:ascii="Noto Sans" w:hAnsi="Noto Sans"/>
                <w:b/>
                <w:b/>
                <w:bCs/>
                <w:sz w:val="20"/>
                <w:szCs w:val="20"/>
              </w:rPr>
            </w:pPr>
            <w:r>
              <w:rPr>
                <w:rStyle w:val="Fuentedeprrafopredeter"/>
                <w:rFonts w:ascii="Noto Sans" w:hAnsi="Noto Sans"/>
                <w:b w:val="false"/>
                <w:bCs w:val="false"/>
                <w:color w:val="auto"/>
                <w:sz w:val="18"/>
                <w:szCs w:val="18"/>
              </w:rPr>
              <w:t xml:space="preserve">Hi han de participar </w:t>
            </w:r>
            <w:r>
              <w:rPr>
                <w:rStyle w:val="Fuentedeprrafopredeter"/>
                <w:rFonts w:ascii="Noto Sans" w:hAnsi="Noto Sans"/>
                <w:b/>
                <w:bCs/>
                <w:color w:val="auto"/>
                <w:sz w:val="18"/>
                <w:szCs w:val="18"/>
              </w:rPr>
              <w:t xml:space="preserve">professionals de fora </w:t>
            </w:r>
            <w:r>
              <w:rPr>
                <w:rStyle w:val="Fuentedeprrafopredeter"/>
                <w:rFonts w:ascii="Noto Sans" w:hAnsi="Noto Sans"/>
                <w:b w:val="false"/>
                <w:bCs w:val="false"/>
                <w:color w:val="auto"/>
                <w:sz w:val="18"/>
                <w:szCs w:val="18"/>
              </w:rPr>
              <w:t>i artistes de les Balears, han de ser obertes al públic professional balear.</w:t>
            </w:r>
            <w:r>
              <w:rPr>
                <w:rFonts w:ascii="Noto Sans" w:hAnsi="Noto Sans"/>
                <w:b/>
                <w:bCs/>
                <w:color w:val="auto"/>
                <w:sz w:val="22"/>
                <w:szCs w:val="22"/>
                <w:highlight w:val="white"/>
              </w:rPr>
              <w:t xml:space="preserve"> </w:t>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rHeight w:val="1525" w:hRule="atLeast"/>
        </w:trPr>
        <w:tc>
          <w:tcPr>
            <w:tcW w:w="1457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Normal"/>
              <w:spacing w:before="285" w:after="285"/>
              <w:jc w:val="left"/>
              <w:rPr>
                <w:rFonts w:ascii="Noto Sans" w:hAnsi="Noto Sans"/>
                <w:b/>
                <w:b/>
                <w:bCs/>
                <w:sz w:val="22"/>
                <w:szCs w:val="22"/>
              </w:rPr>
            </w:pPr>
            <w:r>
              <w:rPr>
                <w:rFonts w:ascii="Noto Sans" w:hAnsi="Noto Sans"/>
                <w:b/>
                <w:bCs/>
                <w:sz w:val="22"/>
                <w:szCs w:val="22"/>
              </w:rPr>
              <w:t>Per optar a subvenció cal que els esdeveniments tenguin programats, com a mínim, un 30 % d'artistes i agents culturals</w:t>
            </w:r>
            <w:r>
              <w:rPr>
                <w:rStyle w:val="Ncoradenotaalpeu"/>
                <w:rStyle w:val="Ncoradenotaalpeu"/>
                <w:rFonts w:ascii="Noto Sans" w:hAnsi="Noto Sans"/>
                <w:b/>
                <w:bCs/>
                <w:sz w:val="22"/>
                <w:szCs w:val="22"/>
              </w:rPr>
              <w:footnoteReference w:id="3"/>
            </w:r>
            <w:r>
              <w:rPr>
                <w:rFonts w:ascii="Noto Sans" w:hAnsi="Noto Sans"/>
                <w:b/>
                <w:bCs/>
                <w:sz w:val="22"/>
                <w:szCs w:val="22"/>
              </w:rPr>
              <w:t xml:space="preserve"> de les Illes Balears, que aquests professionals siguin remunerats i que tenguin presència la comunicació de l’esdeveniment i al cartell principal. </w:t>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pPr>
            <w:r>
              <w:rPr>
                <w:rFonts w:ascii="Noto Sans" w:hAnsi="Noto Sans"/>
                <w:b/>
                <w:bCs/>
                <w:sz w:val="22"/>
                <w:szCs w:val="22"/>
              </w:rPr>
              <w:t>Programació completa de l'esdeveniment especificant quins artistes són de les Illes Balears i quins són de fora</w:t>
            </w:r>
          </w:p>
          <w:p>
            <w:pPr>
              <w:pStyle w:val="Normal"/>
              <w:jc w:val="left"/>
              <w:rPr>
                <w:rFonts w:ascii="Noto Sans" w:hAnsi="Noto Sans"/>
                <w:b/>
                <w:b/>
                <w:bCs/>
                <w:sz w:val="22"/>
                <w:szCs w:val="22"/>
              </w:rPr>
            </w:pPr>
            <w:r>
              <w:rPr/>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sz w:val="22"/>
                <w:szCs w:val="22"/>
              </w:rPr>
            </w:pPr>
            <w:r>
              <w:rPr>
                <w:rFonts w:ascii="Noto Sans" w:hAnsi="Noto Sans"/>
                <w:sz w:val="22"/>
                <w:szCs w:val="22"/>
              </w:rPr>
            </w:r>
          </w:p>
          <w:p>
            <w:pPr>
              <w:pStyle w:val="Normal"/>
              <w:rPr>
                <w:rFonts w:ascii="Noto Sans" w:hAnsi="Noto Sans"/>
                <w:sz w:val="22"/>
                <w:szCs w:val="22"/>
              </w:rPr>
            </w:pPr>
            <w:r>
              <w:rPr>
                <w:rFonts w:ascii="Noto Sans" w:hAnsi="Noto Sans"/>
                <w:sz w:val="22"/>
                <w:szCs w:val="22"/>
              </w:rPr>
            </w:r>
          </w:p>
          <w:p>
            <w:pPr>
              <w:pStyle w:val="Normal"/>
              <w:rPr>
                <w:rFonts w:ascii="Noto Sans" w:hAnsi="Noto Sans"/>
                <w:sz w:val="22"/>
                <w:szCs w:val="22"/>
              </w:rPr>
            </w:pPr>
            <w:r>
              <w:rPr>
                <w:rFonts w:ascii="Noto Sans" w:hAnsi="Noto Sans"/>
                <w:sz w:val="22"/>
                <w:szCs w:val="22"/>
              </w:rPr>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numPr>
                <w:ilvl w:val="0"/>
                <w:numId w:val="0"/>
              </w:numPr>
              <w:spacing w:lineRule="auto" w:line="276" w:before="0" w:after="0"/>
              <w:ind w:left="0" w:hanging="0"/>
              <w:rPr/>
            </w:pPr>
            <w:r>
              <w:rPr>
                <w:rStyle w:val="Fuentedeprrafopredeter"/>
                <w:rFonts w:ascii="Noto Sans" w:hAnsi="Noto Sans"/>
                <w:b/>
                <w:bCs/>
                <w:color w:val="auto"/>
                <w:sz w:val="22"/>
                <w:szCs w:val="22"/>
              </w:rPr>
              <w:t xml:space="preserve">En el cas d’esdeveniments de la modalitat </w:t>
            </w:r>
            <w:r>
              <w:rPr>
                <w:rStyle w:val="Fuentedeprrafopredeter"/>
                <w:rFonts w:ascii="Noto Sans" w:hAnsi="Noto Sans"/>
                <w:b/>
                <w:bCs/>
                <w:color w:val="auto"/>
                <w:sz w:val="22"/>
                <w:szCs w:val="22"/>
                <w:u w:val="single"/>
              </w:rPr>
              <w:t>i) Cicles de concerts d’orquestres professionals i temporada lírica,</w:t>
            </w:r>
            <w:r>
              <w:rPr>
                <w:rStyle w:val="Fuentedeprrafopredeter"/>
                <w:rFonts w:ascii="Noto Sans" w:hAnsi="Noto Sans"/>
                <w:b/>
                <w:bCs/>
                <w:color w:val="auto"/>
                <w:sz w:val="22"/>
                <w:szCs w:val="22"/>
              </w:rPr>
              <w:t xml:space="preserve"> a més de complir les condicions generals establertes anteriorment, han de tenir un mínim de 7 concerts, que suposin almenys 3 programes diferents</w:t>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sz w:val="22"/>
                <w:szCs w:val="22"/>
              </w:rPr>
            </w:pPr>
            <w:r>
              <w:rPr>
                <w:rFonts w:ascii="Noto Sans" w:hAnsi="Noto Sans"/>
                <w:sz w:val="22"/>
                <w:szCs w:val="22"/>
              </w:rPr>
            </w:r>
          </w:p>
        </w:tc>
      </w:tr>
      <w:tr>
        <w:trPr/>
        <w:tc>
          <w:tcPr>
            <w:tcW w:w="1457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Normal"/>
              <w:spacing w:lineRule="auto" w:line="240" w:before="285" w:after="285"/>
              <w:jc w:val="left"/>
              <w:rPr>
                <w:rFonts w:ascii="Noto Sans" w:hAnsi="Noto Sans"/>
                <w:b/>
                <w:b/>
                <w:bCs/>
                <w:color w:val="000000"/>
                <w:sz w:val="22"/>
                <w:szCs w:val="22"/>
              </w:rPr>
            </w:pPr>
            <w:r>
              <w:rPr>
                <w:rFonts w:ascii="Noto Sans" w:hAnsi="Noto Sans"/>
                <w:b/>
                <w:bCs/>
                <w:color w:val="000000"/>
                <w:sz w:val="22"/>
                <w:szCs w:val="22"/>
              </w:rPr>
              <w:t>*No són objecte d’aquesta convocatòria i, per tant, en queden exclosos:</w:t>
            </w:r>
          </w:p>
        </w:tc>
      </w:tr>
      <w:tr>
        <w:trPr/>
        <w:tc>
          <w:tcPr>
            <w:tcW w:w="1457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numPr>
                <w:ilvl w:val="0"/>
                <w:numId w:val="2"/>
              </w:numPr>
              <w:tabs>
                <w:tab w:val="clear" w:pos="936"/>
                <w:tab w:val="left" w:pos="-338" w:leader="none"/>
              </w:tabs>
              <w:spacing w:lineRule="auto" w:line="240"/>
              <w:rPr>
                <w:rFonts w:ascii="Noto Sans" w:hAnsi="Noto Sans"/>
                <w:b w:val="false"/>
                <w:b w:val="false"/>
                <w:bCs w:val="false"/>
                <w:color w:val="000000"/>
                <w:sz w:val="20"/>
                <w:szCs w:val="20"/>
                <w:lang w:val="ca-ES" w:eastAsia="zh-CN"/>
              </w:rPr>
            </w:pPr>
            <w:r>
              <w:rPr>
                <w:rFonts w:ascii="Noto Sans" w:hAnsi="Noto Sans"/>
                <w:b w:val="false"/>
                <w:bCs w:val="false"/>
                <w:color w:val="000000"/>
                <w:sz w:val="20"/>
                <w:szCs w:val="20"/>
                <w:lang w:val="ca-ES" w:eastAsia="zh-CN"/>
              </w:rPr>
              <w:t>Els esdeveniments que es duguin a terme per primera vegada o els que no s’hagin acomplert un mínim de 3 vegades en els darrers 5 anys.</w:t>
            </w:r>
          </w:p>
          <w:p>
            <w:pPr>
              <w:pStyle w:val="Normal"/>
              <w:numPr>
                <w:ilvl w:val="0"/>
                <w:numId w:val="2"/>
              </w:numPr>
              <w:tabs>
                <w:tab w:val="clear" w:pos="936"/>
                <w:tab w:val="left" w:pos="-338" w:leader="none"/>
              </w:tabs>
              <w:spacing w:lineRule="auto" w:line="240"/>
              <w:rPr>
                <w:rFonts w:ascii="Noto Sans" w:hAnsi="Noto Sans"/>
                <w:b w:val="false"/>
                <w:b w:val="false"/>
                <w:bCs w:val="false"/>
                <w:color w:val="000000"/>
                <w:sz w:val="20"/>
                <w:szCs w:val="20"/>
                <w:lang w:val="ca-ES" w:eastAsia="zh-CN"/>
              </w:rPr>
            </w:pPr>
            <w:r>
              <w:rPr>
                <w:rFonts w:ascii="Noto Sans" w:hAnsi="Noto Sans"/>
                <w:b w:val="false"/>
                <w:bCs w:val="false"/>
                <w:color w:val="000000"/>
                <w:sz w:val="20"/>
                <w:szCs w:val="20"/>
                <w:lang w:val="ca-ES" w:eastAsia="zh-CN"/>
              </w:rPr>
              <w:t>Els cicles de concerts d’un mateix artista o grup musical i les temporades teatrals d’un sol artista.</w:t>
            </w:r>
          </w:p>
          <w:p>
            <w:pPr>
              <w:pStyle w:val="Normal"/>
              <w:numPr>
                <w:ilvl w:val="0"/>
                <w:numId w:val="2"/>
              </w:numPr>
              <w:tabs>
                <w:tab w:val="clear" w:pos="936"/>
                <w:tab w:val="left" w:pos="-338" w:leader="none"/>
              </w:tabs>
              <w:spacing w:lineRule="auto" w:line="240"/>
              <w:rPr>
                <w:rFonts w:ascii="Noto Sans" w:hAnsi="Noto Sans"/>
                <w:b w:val="false"/>
                <w:b w:val="false"/>
                <w:bCs w:val="false"/>
                <w:color w:val="000000"/>
                <w:sz w:val="20"/>
                <w:szCs w:val="20"/>
                <w:lang w:val="ca-ES" w:eastAsia="zh-CN"/>
              </w:rPr>
            </w:pPr>
            <w:r>
              <w:rPr>
                <w:rFonts w:ascii="Noto Sans" w:hAnsi="Noto Sans"/>
                <w:b w:val="false"/>
                <w:bCs w:val="false"/>
                <w:color w:val="000000"/>
                <w:sz w:val="20"/>
                <w:szCs w:val="20"/>
                <w:lang w:val="ca-ES" w:eastAsia="zh-CN"/>
              </w:rPr>
              <w:t>Les programacions estables d’un espai d’exhibició.</w:t>
            </w:r>
          </w:p>
          <w:p>
            <w:pPr>
              <w:pStyle w:val="Normal"/>
              <w:numPr>
                <w:ilvl w:val="0"/>
                <w:numId w:val="2"/>
              </w:numPr>
              <w:tabs>
                <w:tab w:val="clear" w:pos="936"/>
                <w:tab w:val="left" w:pos="-338" w:leader="none"/>
              </w:tabs>
              <w:spacing w:lineRule="auto" w:line="240"/>
              <w:rPr>
                <w:rFonts w:ascii="Noto Sans" w:hAnsi="Noto Sans"/>
                <w:b w:val="false"/>
                <w:b w:val="false"/>
                <w:bCs w:val="false"/>
                <w:color w:val="000000"/>
                <w:sz w:val="20"/>
                <w:szCs w:val="20"/>
                <w:lang w:val="ca-ES" w:eastAsia="zh-CN"/>
              </w:rPr>
            </w:pPr>
            <w:r>
              <w:rPr>
                <w:rFonts w:ascii="Noto Sans" w:hAnsi="Noto Sans"/>
                <w:b w:val="false"/>
                <w:bCs w:val="false"/>
                <w:color w:val="000000"/>
                <w:sz w:val="20"/>
                <w:szCs w:val="20"/>
                <w:lang w:val="ca-ES" w:eastAsia="zh-CN"/>
              </w:rPr>
              <w:t>Les programacions i els esdeveniments que durin tot l’any.</w:t>
            </w:r>
          </w:p>
          <w:p>
            <w:pPr>
              <w:pStyle w:val="Normal"/>
              <w:numPr>
                <w:ilvl w:val="0"/>
                <w:numId w:val="2"/>
              </w:numPr>
              <w:tabs>
                <w:tab w:val="clear" w:pos="936"/>
                <w:tab w:val="left" w:pos="-338" w:leader="none"/>
              </w:tabs>
              <w:spacing w:lineRule="auto" w:line="240"/>
              <w:rPr>
                <w:rFonts w:ascii="Noto Sans" w:hAnsi="Noto Sans"/>
                <w:b w:val="false"/>
                <w:b w:val="false"/>
                <w:bCs w:val="false"/>
                <w:color w:val="000000"/>
                <w:sz w:val="20"/>
                <w:szCs w:val="20"/>
              </w:rPr>
            </w:pPr>
            <w:r>
              <w:rPr>
                <w:rFonts w:ascii="Noto Sans" w:hAnsi="Noto Sans"/>
                <w:b w:val="false"/>
                <w:bCs w:val="false"/>
                <w:color w:val="000000"/>
                <w:sz w:val="20"/>
                <w:szCs w:val="20"/>
                <w:lang w:val="ca-ES" w:eastAsia="zh-CN"/>
              </w:rPr>
              <w:t>Les activitats de clubs esportius.</w:t>
            </w:r>
          </w:p>
          <w:p>
            <w:pPr>
              <w:pStyle w:val="Normal"/>
              <w:numPr>
                <w:ilvl w:val="0"/>
                <w:numId w:val="2"/>
              </w:numPr>
              <w:tabs>
                <w:tab w:val="clear" w:pos="936"/>
                <w:tab w:val="left" w:pos="-338" w:leader="none"/>
              </w:tabs>
              <w:spacing w:lineRule="auto" w:line="240"/>
              <w:rPr>
                <w:rFonts w:ascii="Noto Sans" w:hAnsi="Noto Sans"/>
                <w:b w:val="false"/>
                <w:b w:val="false"/>
                <w:bCs w:val="false"/>
                <w:color w:val="000000"/>
                <w:sz w:val="20"/>
                <w:szCs w:val="20"/>
              </w:rPr>
            </w:pPr>
            <w:r>
              <w:rPr>
                <w:rFonts w:ascii="Noto Sans" w:hAnsi="Noto Sans"/>
                <w:b w:val="false"/>
                <w:bCs w:val="false"/>
                <w:color w:val="000000"/>
                <w:sz w:val="20"/>
                <w:szCs w:val="20"/>
                <w:lang w:val="ca-ES" w:eastAsia="zh-CN"/>
              </w:rPr>
              <w:t>No es poden subvencionar projectes que vulnerin els drets dels col·lectius LGTBI, els drets de les dones o els drets humans.</w:t>
            </w:r>
          </w:p>
          <w:p>
            <w:pPr>
              <w:pStyle w:val="Normal"/>
              <w:numPr>
                <w:ilvl w:val="0"/>
                <w:numId w:val="0"/>
              </w:numPr>
              <w:tabs>
                <w:tab w:val="clear" w:pos="936"/>
                <w:tab w:val="left" w:pos="-338" w:leader="none"/>
              </w:tabs>
              <w:spacing w:lineRule="auto" w:line="240"/>
              <w:ind w:left="720" w:hanging="0"/>
              <w:rPr>
                <w:lang w:val="ca-ES" w:eastAsia="zh-CN"/>
              </w:rPr>
            </w:pPr>
            <w:r>
              <w:rPr>
                <w:lang w:val="ca-ES" w:eastAsia="zh-CN"/>
              </w:rPr>
            </w:r>
          </w:p>
          <w:p>
            <w:pPr>
              <w:pStyle w:val="Normal"/>
              <w:widowControl/>
              <w:numPr>
                <w:ilvl w:val="0"/>
                <w:numId w:val="0"/>
              </w:numPr>
              <w:tabs>
                <w:tab w:val="clear" w:pos="936"/>
                <w:tab w:val="left" w:pos="570" w:leader="none"/>
              </w:tabs>
              <w:overflowPunct w:val="true"/>
              <w:bidi w:val="0"/>
              <w:spacing w:lineRule="auto" w:line="240" w:before="0" w:after="0"/>
              <w:ind w:left="794" w:right="0" w:hanging="0"/>
              <w:jc w:val="left"/>
              <w:rPr>
                <w:rFonts w:ascii="Noto Sans" w:hAnsi="Noto Sans"/>
                <w:b/>
                <w:b/>
                <w:bCs/>
                <w:color w:val="000000"/>
                <w:sz w:val="20"/>
                <w:szCs w:val="20"/>
              </w:rPr>
            </w:pPr>
            <w:r>
              <w:rPr/>
              <w:object>
                <v:shapetype id="shapetype_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control_shape_0" style="width:7.55pt;height:7.3pt" type="#shapetype_75"/>
                <w:control r:id="rId2" w:name="mallorca" w:shapeid="control_shape_0"/>
              </w:object>
            </w:r>
            <w:r>
              <w:rPr>
                <w:rFonts w:eastAsia="NSimSun" w:cs="Arial" w:ascii="Noto Sans" w:hAnsi="Noto Sans"/>
                <w:b/>
                <w:bCs/>
                <w:color w:val="000000"/>
                <w:kern w:val="2"/>
                <w:sz w:val="20"/>
                <w:szCs w:val="20"/>
                <w:lang w:val="ca-ES" w:eastAsia="zh-CN" w:bidi="ar-SA"/>
              </w:rPr>
              <w:t xml:space="preserve"> </w:t>
            </w:r>
            <w:r>
              <w:rPr>
                <w:rFonts w:eastAsia="NSimSun" w:cs="Arial" w:ascii="Noto Sans" w:hAnsi="Noto Sans"/>
                <w:b/>
                <w:bCs/>
                <w:color w:val="000000"/>
                <w:kern w:val="2"/>
                <w:sz w:val="20"/>
                <w:szCs w:val="20"/>
                <w:lang w:val="ca-ES" w:eastAsia="zh-CN"/>
              </w:rPr>
              <w:t>Declar que l’esdeveniment objecte de subvenció no entra dins aquestes exclusions.</w:t>
            </w:r>
          </w:p>
        </w:tc>
      </w:tr>
    </w:tbl>
    <w:p>
      <w:pPr>
        <w:pStyle w:val="Cosdeltext"/>
        <w:jc w:val="center"/>
        <w:rPr>
          <w:b/>
          <w:b/>
          <w:bCs/>
        </w:rPr>
      </w:pPr>
      <w:r>
        <w:rPr>
          <w:b/>
          <w:bCs/>
        </w:rPr>
      </w:r>
      <w:r>
        <w:br w:type="page"/>
      </w:r>
    </w:p>
    <w:p>
      <w:pPr>
        <w:pStyle w:val="Cosdeltext"/>
        <w:jc w:val="center"/>
        <w:rPr>
          <w:rFonts w:ascii="Noto Sans" w:hAnsi="Noto Sans"/>
          <w:sz w:val="28"/>
          <w:szCs w:val="28"/>
        </w:rPr>
      </w:pPr>
      <w:r>
        <w:rPr>
          <w:rFonts w:ascii="Noto Sans" w:hAnsi="Noto Sans"/>
          <w:b/>
          <w:bCs/>
          <w:sz w:val="28"/>
          <w:szCs w:val="28"/>
        </w:rPr>
        <w:t>Memòria del projecte</w:t>
      </w:r>
      <w:r>
        <w:rPr>
          <w:rStyle w:val="Ncoradenotaalpeu"/>
          <w:rStyle w:val="Ncoradenotaalpeu"/>
          <w:rFonts w:ascii="Noto Sans" w:hAnsi="Noto Sans"/>
          <w:b/>
          <w:bCs/>
          <w:sz w:val="28"/>
          <w:szCs w:val="28"/>
        </w:rPr>
        <w:footnoteReference w:id="4"/>
      </w:r>
    </w:p>
    <w:tbl>
      <w:tblPr>
        <w:tblW w:w="14564"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14564"/>
      </w:tblGrid>
      <w:tr>
        <w:trPr/>
        <w:tc>
          <w:tcPr>
            <w:tcW w:w="1456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Normal"/>
              <w:jc w:val="center"/>
              <w:rPr>
                <w:rFonts w:ascii="Noto Sans" w:hAnsi="Noto Sans"/>
                <w:b/>
                <w:b/>
                <w:bCs/>
                <w:sz w:val="20"/>
                <w:szCs w:val="20"/>
              </w:rPr>
            </w:pPr>
            <w:r>
              <w:rPr>
                <w:rFonts w:ascii="Noto Sans" w:hAnsi="Noto Sans"/>
                <w:b/>
                <w:bCs/>
                <w:sz w:val="20"/>
                <w:szCs w:val="20"/>
              </w:rPr>
              <w:t>OBJECTIUS GENERALS DEL PROJECTE</w:t>
            </w:r>
          </w:p>
        </w:tc>
      </w:tr>
      <w:tr>
        <w:trPr/>
        <w:tc>
          <w:tcPr>
            <w:tcW w:w="1456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center"/>
              <w:rPr>
                <w:rFonts w:ascii="Noto Sans" w:hAnsi="Noto Sans"/>
                <w:b/>
                <w:b/>
                <w:bCs/>
                <w:sz w:val="20"/>
                <w:szCs w:val="20"/>
              </w:rPr>
            </w:pPr>
            <w:r>
              <w:rPr>
                <w:rFonts w:ascii="Noto Sans" w:hAnsi="Noto Sans"/>
                <w:b/>
                <w:bCs/>
                <w:sz w:val="20"/>
                <w:szCs w:val="20"/>
              </w:rPr>
            </w:r>
          </w:p>
          <w:p>
            <w:pPr>
              <w:pStyle w:val="Contingutdelataula"/>
              <w:jc w:val="center"/>
              <w:rPr>
                <w:rFonts w:ascii="Noto Sans" w:hAnsi="Noto Sans"/>
                <w:b/>
                <w:b/>
                <w:bCs/>
                <w:sz w:val="20"/>
                <w:szCs w:val="20"/>
              </w:rPr>
            </w:pPr>
            <w:r>
              <w:rPr>
                <w:rFonts w:ascii="Noto Sans" w:hAnsi="Noto Sans"/>
                <w:b/>
                <w:bCs/>
                <w:sz w:val="20"/>
                <w:szCs w:val="20"/>
              </w:rPr>
            </w:r>
          </w:p>
          <w:p>
            <w:pPr>
              <w:pStyle w:val="Contingutdelataula"/>
              <w:jc w:val="center"/>
              <w:rPr>
                <w:rFonts w:ascii="Noto Sans" w:hAnsi="Noto Sans"/>
                <w:b/>
                <w:b/>
                <w:bCs/>
                <w:sz w:val="20"/>
                <w:szCs w:val="20"/>
              </w:rPr>
            </w:pPr>
            <w:r>
              <w:rPr>
                <w:rFonts w:ascii="Noto Sans" w:hAnsi="Noto Sans"/>
                <w:b/>
                <w:bCs/>
                <w:sz w:val="20"/>
                <w:szCs w:val="20"/>
              </w:rPr>
            </w:r>
          </w:p>
        </w:tc>
      </w:tr>
    </w:tbl>
    <w:p>
      <w:pPr>
        <w:pStyle w:val="Normal"/>
        <w:numPr>
          <w:ilvl w:val="0"/>
          <w:numId w:val="0"/>
        </w:numPr>
        <w:spacing w:lineRule="auto" w:line="276" w:before="0" w:after="0"/>
        <w:ind w:left="0" w:hanging="0"/>
        <w:rPr>
          <w:rFonts w:eastAsia="Times New Roman"/>
          <w:b/>
          <w:b/>
          <w:bCs/>
          <w:color w:val="auto"/>
          <w:sz w:val="22"/>
          <w:szCs w:val="22"/>
          <w:lang w:val="ca-ES" w:eastAsia="es-ES"/>
        </w:rPr>
      </w:pPr>
      <w:r>
        <w:rPr>
          <w:rFonts w:eastAsia="Times New Roman"/>
          <w:b/>
          <w:bCs/>
          <w:color w:val="auto"/>
          <w:sz w:val="22"/>
          <w:szCs w:val="22"/>
          <w:lang w:val="ca-ES" w:eastAsia="es-ES"/>
        </w:rPr>
      </w:r>
    </w:p>
    <w:p>
      <w:pPr>
        <w:pStyle w:val="Normal"/>
        <w:numPr>
          <w:ilvl w:val="0"/>
          <w:numId w:val="0"/>
        </w:numPr>
        <w:spacing w:lineRule="auto" w:line="276" w:before="0" w:after="0"/>
        <w:ind w:left="0" w:hanging="0"/>
        <w:rPr>
          <w:rFonts w:ascii="Noto Sans" w:hAnsi="Noto Sans"/>
        </w:rPr>
      </w:pPr>
      <w:r>
        <w:rPr>
          <w:rFonts w:eastAsia="Times New Roman" w:ascii="Noto Sans" w:hAnsi="Noto Sans"/>
          <w:b/>
          <w:bCs/>
          <w:color w:val="auto"/>
          <w:sz w:val="22"/>
          <w:szCs w:val="22"/>
          <w:lang w:val="ca-ES" w:eastAsia="es-ES"/>
        </w:rPr>
        <w:t>12.1.</w:t>
      </w:r>
      <w:r>
        <w:rPr>
          <w:rFonts w:eastAsia="Times New Roman" w:ascii="Noto Sans" w:hAnsi="Noto Sans"/>
          <w:b/>
          <w:bCs/>
          <w:i/>
          <w:iCs/>
          <w:color w:val="auto"/>
          <w:sz w:val="22"/>
          <w:szCs w:val="22"/>
          <w:lang w:val="ca-ES" w:eastAsia="es-ES"/>
        </w:rPr>
        <w:t>a)</w:t>
      </w:r>
      <w:r>
        <w:rPr>
          <w:rFonts w:eastAsia="Times New Roman" w:ascii="Noto Sans" w:hAnsi="Noto Sans"/>
          <w:b/>
          <w:bCs/>
          <w:color w:val="auto"/>
          <w:sz w:val="22"/>
          <w:szCs w:val="22"/>
          <w:lang w:val="ca-ES" w:eastAsia="es-ES"/>
        </w:rPr>
        <w:t xml:space="preserve"> Valoració general del projecte (fins a 65 punts)</w:t>
      </w:r>
    </w:p>
    <w:tbl>
      <w:tblPr>
        <w:tblW w:w="14564"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3859"/>
        <w:gridCol w:w="10704"/>
      </w:tblGrid>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rPr>
              <w:t>PROGRAMACIÓ GENERAL</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bidi w:val="0"/>
              <w:spacing w:lineRule="auto" w:line="276" w:before="57" w:after="57"/>
              <w:ind w:left="0" w:right="0" w:hanging="0"/>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rPr>
              <w:t>La programació oficial combina artistes de més d'una illa.</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rHeight w:val="120"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bidi w:val="0"/>
              <w:spacing w:lineRule="auto" w:line="276" w:before="57" w:after="57"/>
              <w:ind w:left="0" w:right="0" w:hanging="0"/>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rPr>
              <w:t>Inclou programació internacional.</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rHeight w:val="120"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bidi w:val="0"/>
              <w:spacing w:lineRule="auto" w:line="276" w:before="57" w:after="57"/>
              <w:ind w:left="0" w:right="0" w:hanging="0"/>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rPr>
              <w:t xml:space="preserve">La programació combina artistes emergents i consolidats. </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rHeight w:val="120"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bidi w:val="0"/>
              <w:spacing w:lineRule="auto" w:line="276" w:before="57" w:after="57"/>
              <w:ind w:left="0" w:right="0" w:hanging="0"/>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rPr>
              <w:t>L’esdeveniment fomenta la professionalització dels artistes balears contractats.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rPr>
              <w:t>PROGRAMA PROFESSIONAL</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rPr>
            </w:pPr>
            <w:r>
              <w:rPr>
                <w:rFonts w:ascii="Noto Sans" w:hAnsi="Noto Sans"/>
                <w:b/>
                <w:bCs/>
                <w:sz w:val="20"/>
                <w:szCs w:val="20"/>
              </w:rPr>
              <w:t>Trajectòria dels ponents i convidats</w:t>
            </w:r>
          </w:p>
          <w:p>
            <w:pPr>
              <w:pStyle w:val="Normal"/>
              <w:jc w:val="left"/>
              <w:rPr>
                <w:rFonts w:ascii="Noto Sans" w:hAnsi="Noto Sans"/>
                <w:b w:val="false"/>
                <w:b w:val="false"/>
                <w:bCs w:val="false"/>
                <w:sz w:val="18"/>
                <w:szCs w:val="20"/>
              </w:rPr>
            </w:pPr>
            <w:r>
              <w:rPr>
                <w:rFonts w:ascii="Noto Sans" w:hAnsi="Noto Sans"/>
                <w:b w:val="false"/>
                <w:bCs w:val="false"/>
                <w:sz w:val="18"/>
                <w:szCs w:val="20"/>
              </w:rPr>
            </w:r>
          </w:p>
          <w:p>
            <w:pPr>
              <w:pStyle w:val="Normal"/>
              <w:jc w:val="left"/>
              <w:rPr>
                <w:rFonts w:ascii="Noto Sans" w:hAnsi="Noto Sans"/>
                <w:b w:val="false"/>
                <w:b w:val="false"/>
                <w:bCs w:val="false"/>
                <w:sz w:val="20"/>
                <w:szCs w:val="20"/>
              </w:rPr>
            </w:pPr>
            <w:r>
              <w:rPr>
                <w:rFonts w:ascii="Noto Sans" w:hAnsi="Noto Sans"/>
                <w:b w:val="false"/>
                <w:bCs w:val="false"/>
                <w:sz w:val="20"/>
                <w:szCs w:val="20"/>
              </w:rPr>
              <w:t>Llista dels professionals acreditats assistents (programadors, distribuïdors, productors, gestors i mediadors culturals, comissaris, crítics, etc.), en què es distingeixin de manera clara els que són de fora de les Illes Balears.</w:t>
            </w:r>
          </w:p>
          <w:p>
            <w:pPr>
              <w:pStyle w:val="Normal"/>
              <w:jc w:val="right"/>
              <w:rPr>
                <w:rFonts w:ascii="Noto Sans" w:hAnsi="Noto Sans"/>
                <w:sz w:val="16"/>
              </w:rPr>
            </w:pPr>
            <w:r>
              <w:rPr>
                <w:rFonts w:ascii="Noto Sans" w:hAnsi="Noto Sans"/>
                <w:b w:val="false"/>
                <w:bCs w:val="false"/>
                <w:i w:val="false"/>
                <w:iCs w:val="false"/>
                <w:sz w:val="16"/>
                <w:szCs w:val="16"/>
              </w:rPr>
              <w:t>* En cas de no disposar de la llista de l'edició actual, cal adjuntar la de l'edició anterior.</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b/>
                <w:bCs/>
                <w:sz w:val="20"/>
                <w:szCs w:val="20"/>
              </w:rPr>
            </w:pPr>
            <w:r>
              <w:rPr>
                <w:rFonts w:ascii="Noto Sans" w:hAnsi="Noto Sans"/>
                <w:b/>
                <w:bCs/>
                <w:sz w:val="20"/>
                <w:szCs w:val="20"/>
              </w:rPr>
              <w:t>Activitats plantejades per a professionals</w:t>
            </w:r>
          </w:p>
          <w:p>
            <w:pPr>
              <w:pStyle w:val="Normal"/>
              <w:rPr>
                <w:rFonts w:ascii="Noto Sans" w:hAnsi="Noto Sans"/>
                <w:b/>
                <w:b/>
                <w:bCs/>
                <w:sz w:val="20"/>
                <w:szCs w:val="20"/>
              </w:rPr>
            </w:pPr>
            <w:r>
              <w:rPr>
                <w:rFonts w:ascii="Noto Sans" w:hAnsi="Noto Sans"/>
                <w:b/>
                <w:bCs/>
                <w:sz w:val="20"/>
                <w:szCs w:val="20"/>
              </w:rPr>
            </w:r>
          </w:p>
          <w:p>
            <w:pPr>
              <w:pStyle w:val="Normal"/>
              <w:rPr>
                <w:rFonts w:ascii="Noto Sans" w:hAnsi="Noto Sans"/>
                <w:b w:val="false"/>
                <w:b w:val="false"/>
                <w:bCs w:val="false"/>
                <w:sz w:val="20"/>
                <w:szCs w:val="20"/>
                <w:u w:val="none"/>
              </w:rPr>
            </w:pPr>
            <w:r>
              <w:rPr>
                <w:rFonts w:ascii="Noto Sans" w:hAnsi="Noto Sans"/>
                <w:b w:val="false"/>
                <w:bCs w:val="false"/>
                <w:sz w:val="20"/>
                <w:szCs w:val="20"/>
                <w:u w:val="none"/>
              </w:rPr>
              <w:t>Adjuntau el programa de les Jornades Professionals</w:t>
            </w:r>
          </w:p>
          <w:p>
            <w:pPr>
              <w:pStyle w:val="Normal"/>
              <w:rPr>
                <w:rFonts w:ascii="Noto Sans" w:hAnsi="Noto Sans"/>
                <w:b w:val="false"/>
                <w:b w:val="false"/>
                <w:bCs w:val="false"/>
                <w:sz w:val="20"/>
                <w:szCs w:val="20"/>
                <w:u w:val="none"/>
              </w:rPr>
            </w:pPr>
            <w:r>
              <w:rPr>
                <w:rFonts w:ascii="Noto Sans" w:hAnsi="Noto Sans"/>
                <w:b w:val="false"/>
                <w:bCs w:val="false"/>
                <w:sz w:val="20"/>
                <w:szCs w:val="20"/>
                <w:u w:val="none"/>
              </w:rPr>
            </w:r>
          </w:p>
          <w:p>
            <w:pPr>
              <w:pStyle w:val="Normal"/>
              <w:jc w:val="right"/>
              <w:rPr>
                <w:rFonts w:ascii="Noto Sans" w:hAnsi="Noto Sans"/>
                <w:b w:val="false"/>
                <w:b w:val="false"/>
                <w:bCs w:val="false"/>
                <w:sz w:val="16"/>
                <w:szCs w:val="20"/>
                <w:u w:val="none"/>
              </w:rPr>
            </w:pPr>
            <w:r>
              <w:rPr>
                <w:rFonts w:ascii="Noto Sans" w:hAnsi="Noto Sans"/>
                <w:b w:val="false"/>
                <w:bCs w:val="false"/>
                <w:i w:val="false"/>
                <w:iCs w:val="false"/>
                <w:sz w:val="16"/>
                <w:szCs w:val="16"/>
                <w:u w:val="none"/>
              </w:rPr>
              <w:t>* En cas de no disposar del programa d’enguany, cal adjuntar la de l'edició anterior i una previsió de les activitats previstes per a 2025.</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rPr>
              <w:t>POTENCIAL DE PROJECCIÓ EXTERIOR</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bidi w:val="0"/>
              <w:spacing w:lineRule="auto" w:line="276" w:before="57" w:after="57"/>
              <w:ind w:left="0" w:right="0" w:hanging="0"/>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rPr>
              <w:t>L'esdeveniment compta amb un pla de comunicació d'abast nacional i/o internacional.</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bidi w:val="0"/>
              <w:spacing w:lineRule="auto" w:line="276" w:before="0" w:after="0"/>
              <w:ind w:left="0" w:right="0" w:hanging="0"/>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rPr>
              <w:t>Projecció nacional o internacional del projecte i repercussió en els artistes balears.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bidi w:val="0"/>
              <w:spacing w:lineRule="auto" w:line="276" w:before="57" w:after="57"/>
              <w:ind w:left="0" w:right="0" w:hanging="0"/>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rPr>
              <w:t>L’esdeveniment assoleix la projecció exterior dels artistes balears: intercanvis d’artistes balears amb altres esdeveniments similars, aconsegueix contractació dels artistes balears per tocar fora de l’illa de residència...</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bidi w:val="0"/>
              <w:spacing w:lineRule="auto" w:line="276" w:before="57" w:after="57"/>
              <w:ind w:left="0" w:right="0" w:hanging="0"/>
              <w:jc w:val="left"/>
              <w:rPr>
                <w:rFonts w:ascii="Noto Sans" w:hAnsi="Noto Sans" w:eastAsia="Noto Sans" w:cs="Noto Sans"/>
                <w:b/>
                <w:b/>
                <w:bCs/>
                <w:color w:val="auto"/>
                <w:sz w:val="20"/>
                <w:szCs w:val="20"/>
                <w:highlight w:val="white"/>
                <w:lang w:val="ca-ES" w:eastAsia="en-US"/>
              </w:rPr>
            </w:pPr>
            <w:r>
              <w:rPr>
                <w:rFonts w:eastAsia="Noto Sans" w:cs="Noto Sans" w:ascii="Noto Sans" w:hAnsi="Noto Sans"/>
                <w:b/>
                <w:bCs/>
                <w:i w:val="false"/>
                <w:strike w:val="false"/>
                <w:dstrike w:val="false"/>
                <w:outline w:val="false"/>
                <w:shadow w:val="false"/>
                <w:color w:val="auto"/>
                <w:sz w:val="20"/>
                <w:szCs w:val="20"/>
                <w:highlight w:val="white"/>
                <w:u w:val="none"/>
                <w:em w:val="none"/>
                <w:lang w:val="ca-ES" w:eastAsia="en-US"/>
              </w:rPr>
              <w:t xml:space="preserve">Creació d'audiències. </w:t>
            </w:r>
          </w:p>
          <w:p>
            <w:pPr>
              <w:pStyle w:val="Normal"/>
              <w:widowControl/>
              <w:suppressAutoHyphens w:val="true"/>
              <w:bidi w:val="0"/>
              <w:spacing w:lineRule="auto" w:line="276" w:before="57" w:after="57"/>
              <w:ind w:left="0" w:right="0" w:hanging="0"/>
              <w:jc w:val="left"/>
              <w:rPr>
                <w:rFonts w:ascii="Noto Sans" w:hAnsi="Noto Sans" w:eastAsia="Noto Sans" w:cs="Noto Sans"/>
                <w:b w:val="false"/>
                <w:b w:val="false"/>
                <w:bCs w:val="false"/>
                <w:color w:val="auto"/>
                <w:sz w:val="20"/>
                <w:szCs w:val="20"/>
                <w:highlight w:val="white"/>
                <w:lang w:val="ca-ES" w:eastAsia="en-US"/>
              </w:rPr>
            </w:pPr>
            <w:r>
              <w:rPr>
                <w:rFonts w:eastAsia="Noto Sans" w:cs="Noto Sans" w:ascii="Noto Sans" w:hAnsi="Noto Sans"/>
                <w:b w:val="false"/>
                <w:bCs w:val="false"/>
                <w:i w:val="false"/>
                <w:strike w:val="false"/>
                <w:dstrike w:val="false"/>
                <w:outline w:val="false"/>
                <w:shadow w:val="false"/>
                <w:color w:val="auto"/>
                <w:sz w:val="20"/>
                <w:szCs w:val="20"/>
                <w:highlight w:val="white"/>
                <w:u w:val="none"/>
                <w:em w:val="none"/>
                <w:lang w:val="ca-ES" w:eastAsia="en-US"/>
              </w:rPr>
              <w:t>Es valoren els indicadors d'espectadors i assistents.</w:t>
            </w:r>
          </w:p>
          <w:p>
            <w:pPr>
              <w:pStyle w:val="Normal"/>
              <w:widowControl/>
              <w:suppressAutoHyphens w:val="true"/>
              <w:bidi w:val="0"/>
              <w:spacing w:lineRule="auto" w:line="276" w:before="57" w:after="57"/>
              <w:ind w:left="0" w:right="0" w:hanging="0"/>
              <w:jc w:val="left"/>
              <w:rPr>
                <w:rFonts w:ascii="Noto Sans" w:hAnsi="Noto Sans" w:eastAsia="Noto Sans" w:cs="Noto Sans"/>
                <w:b w:val="false"/>
                <w:b w:val="false"/>
                <w:bCs w:val="false"/>
                <w:color w:val="auto"/>
                <w:sz w:val="20"/>
                <w:szCs w:val="20"/>
                <w:highlight w:val="white"/>
                <w:lang w:val="ca-ES" w:eastAsia="en-US"/>
              </w:rPr>
            </w:pPr>
            <w:r>
              <w:rPr>
                <w:rFonts w:eastAsia="Noto Sans" w:cs="Noto Sans" w:ascii="Noto Sans" w:hAnsi="Noto Sans"/>
                <w:b w:val="false"/>
                <w:bCs w:val="false"/>
                <w:i w:val="false"/>
                <w:strike w:val="false"/>
                <w:dstrike w:val="false"/>
                <w:outline w:val="false"/>
                <w:shadow w:val="false"/>
                <w:color w:val="auto"/>
                <w:sz w:val="20"/>
                <w:szCs w:val="20"/>
                <w:highlight w:val="white"/>
                <w:u w:val="none"/>
                <w:em w:val="none"/>
                <w:lang w:val="ca-ES" w:eastAsia="en-US"/>
              </w:rPr>
              <w:t xml:space="preserve">Indicau si l’esdeveniment ha augmentat de públic al llarg de les diverses edicions i les activitats plantejades per arribar a nous públics. </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rPr>
              <w:t>INTERÈS CULTURAL DE L’ESDEVENIMENT</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keepNext w:val="false"/>
              <w:keepLines w:val="false"/>
              <w:widowControl/>
              <w:spacing w:lineRule="auto" w:line="288" w:before="0" w:after="0"/>
              <w:ind w:left="0" w:right="0" w:hanging="0"/>
              <w:jc w:val="left"/>
              <w:rPr>
                <w:rFonts w:ascii="Noto Sans" w:hAnsi="Noto Sans"/>
                <w:b/>
                <w:b/>
                <w:bCs/>
                <w:i w:val="false"/>
                <w:i w:val="false"/>
                <w:caps w:val="false"/>
                <w:smallCaps w:val="false"/>
                <w:strike w:val="false"/>
                <w:dstrike w:val="false"/>
                <w:color w:val="000000"/>
                <w:position w:val="0"/>
                <w:sz w:val="24"/>
                <w:sz w:val="20"/>
                <w:szCs w:val="20"/>
                <w:u w:val="none"/>
                <w:vertAlign w:val="baseline"/>
              </w:rPr>
            </w:pPr>
            <w:r>
              <w:rPr>
                <w:rFonts w:ascii="Noto Sans" w:hAnsi="Noto Sans"/>
                <w:b/>
                <w:bCs/>
                <w:i w:val="false"/>
                <w:caps w:val="false"/>
                <w:smallCaps w:val="false"/>
                <w:strike w:val="false"/>
                <w:dstrike w:val="false"/>
                <w:color w:val="000000"/>
                <w:position w:val="0"/>
                <w:sz w:val="20"/>
                <w:sz w:val="20"/>
                <w:szCs w:val="20"/>
                <w:u w:val="none"/>
                <w:vertAlign w:val="baseline"/>
              </w:rPr>
              <w:t>Originalitat i capacitat innovadora de l’esdeveniment.</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keepNext w:val="false"/>
              <w:keepLines w:val="false"/>
              <w:widowControl/>
              <w:spacing w:lineRule="auto" w:line="288" w:before="0" w:after="0"/>
              <w:ind w:left="0" w:right="0" w:hanging="0"/>
              <w:jc w:val="left"/>
              <w:rPr>
                <w:rFonts w:ascii="Noto Sans" w:hAnsi="Noto Sans"/>
                <w:b/>
                <w:b/>
                <w:bCs/>
                <w:i w:val="false"/>
                <w:i w:val="false"/>
                <w:caps w:val="false"/>
                <w:smallCaps w:val="false"/>
                <w:strike w:val="false"/>
                <w:dstrike w:val="false"/>
                <w:color w:val="000000"/>
                <w:position w:val="0"/>
                <w:sz w:val="24"/>
                <w:sz w:val="20"/>
                <w:szCs w:val="20"/>
                <w:u w:val="none"/>
                <w:vertAlign w:val="baseline"/>
              </w:rPr>
            </w:pPr>
            <w:r>
              <w:rPr>
                <w:rFonts w:ascii="Noto Sans" w:hAnsi="Noto Sans"/>
                <w:b/>
                <w:bCs/>
                <w:i w:val="false"/>
                <w:caps w:val="false"/>
                <w:smallCaps w:val="false"/>
                <w:strike w:val="false"/>
                <w:dstrike w:val="false"/>
                <w:color w:val="000000"/>
                <w:position w:val="0"/>
                <w:sz w:val="20"/>
                <w:sz w:val="20"/>
                <w:szCs w:val="20"/>
                <w:u w:val="none"/>
                <w:vertAlign w:val="baseline"/>
              </w:rPr>
              <w:t>Qualitat del projecte.</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keepNext w:val="false"/>
              <w:keepLines w:val="false"/>
              <w:widowControl/>
              <w:spacing w:lineRule="auto" w:line="288" w:before="0" w:after="0"/>
              <w:ind w:left="0" w:right="0" w:hanging="0"/>
              <w:jc w:val="left"/>
              <w:rPr>
                <w:rFonts w:ascii="Noto Sans" w:hAnsi="Noto Sans"/>
                <w:b/>
                <w:b/>
                <w:bCs/>
                <w:i w:val="false"/>
                <w:i w:val="false"/>
                <w:caps w:val="false"/>
                <w:smallCaps w:val="false"/>
                <w:strike w:val="false"/>
                <w:dstrike w:val="false"/>
                <w:color w:val="000000"/>
                <w:position w:val="0"/>
                <w:sz w:val="24"/>
                <w:sz w:val="20"/>
                <w:szCs w:val="20"/>
                <w:u w:val="none"/>
                <w:vertAlign w:val="baseline"/>
              </w:rPr>
            </w:pPr>
            <w:r>
              <w:rPr>
                <w:rFonts w:ascii="Noto Sans" w:hAnsi="Noto Sans"/>
                <w:b/>
                <w:bCs/>
                <w:i w:val="false"/>
                <w:caps w:val="false"/>
                <w:smallCaps w:val="false"/>
                <w:strike w:val="false"/>
                <w:dstrike w:val="false"/>
                <w:color w:val="000000"/>
                <w:position w:val="0"/>
                <w:sz w:val="20"/>
                <w:sz w:val="20"/>
                <w:szCs w:val="20"/>
                <w:u w:val="none"/>
                <w:vertAlign w:val="baseline"/>
              </w:rPr>
              <w:t xml:space="preserve">Coherència en el plantejament i dels continguts artístics i tècnics. </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keepNext w:val="false"/>
              <w:keepLines w:val="false"/>
              <w:widowControl/>
              <w:spacing w:lineRule="auto" w:line="288" w:before="0" w:after="0"/>
              <w:ind w:left="0" w:right="0" w:hanging="0"/>
              <w:jc w:val="left"/>
              <w:rPr>
                <w:rFonts w:ascii="Noto Sans" w:hAnsi="Noto Sans"/>
                <w:b/>
                <w:b/>
                <w:bCs/>
                <w:i w:val="false"/>
                <w:i w:val="false"/>
                <w:caps w:val="false"/>
                <w:smallCaps w:val="false"/>
                <w:strike w:val="false"/>
                <w:dstrike w:val="false"/>
                <w:color w:val="000000"/>
                <w:position w:val="0"/>
                <w:sz w:val="24"/>
                <w:sz w:val="20"/>
                <w:szCs w:val="20"/>
                <w:u w:val="none"/>
                <w:vertAlign w:val="baseline"/>
              </w:rPr>
            </w:pPr>
            <w:r>
              <w:rPr>
                <w:rFonts w:ascii="Noto Sans" w:hAnsi="Noto Sans"/>
                <w:b/>
                <w:bCs/>
                <w:i w:val="false"/>
                <w:caps w:val="false"/>
                <w:smallCaps w:val="false"/>
                <w:strike w:val="false"/>
                <w:dstrike w:val="false"/>
                <w:color w:val="000000"/>
                <w:position w:val="0"/>
                <w:sz w:val="20"/>
                <w:sz w:val="20"/>
                <w:szCs w:val="20"/>
                <w:u w:val="none"/>
                <w:vertAlign w:val="baseline"/>
              </w:rPr>
              <w:t>Contribució al panorama artístic actual.</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rPr>
              <w:t>ANTIGUITAT</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ascii="Noto Sans" w:hAnsi="Noto Sans"/>
                <w:b/>
                <w:b/>
                <w:bCs/>
                <w:sz w:val="20"/>
                <w:szCs w:val="20"/>
              </w:rPr>
            </w:pPr>
            <w:r>
              <w:rPr>
                <w:rFonts w:eastAsia="Noto Sans" w:cs="Noto Sans" w:ascii="Noto Sans" w:hAnsi="Noto Sans"/>
                <w:b/>
                <w:bCs/>
                <w:sz w:val="20"/>
                <w:szCs w:val="20"/>
              </w:rPr>
              <w:t>1 punt per edició fins a un màxim de 5 punts  (sense tenir en compte l’edició actual)</w:t>
            </w:r>
          </w:p>
          <w:p>
            <w:pPr>
              <w:pStyle w:val="Normal"/>
              <w:widowControl/>
              <w:spacing w:lineRule="auto" w:line="240" w:before="55" w:after="0"/>
              <w:ind w:left="283" w:right="0" w:hanging="0"/>
              <w:jc w:val="right"/>
              <w:rPr>
                <w:rFonts w:ascii="Noto Sans" w:hAnsi="Noto Sans" w:eastAsia="Noto Sans" w:cs="Noto Sans"/>
                <w:b/>
                <w:b/>
                <w:bCs/>
                <w:sz w:val="20"/>
                <w:szCs w:val="20"/>
              </w:rPr>
            </w:pPr>
            <w:r>
              <w:rPr>
                <w:rFonts w:eastAsia="Noto Sans" w:cs="Noto Sans" w:ascii="Noto Sans" w:hAnsi="Noto Sans"/>
                <w:b/>
                <w:bCs/>
                <w:i/>
                <w:iCs/>
                <w:sz w:val="20"/>
                <w:szCs w:val="20"/>
              </w:rPr>
              <w:t xml:space="preserve">Adjuntau un </w:t>
            </w:r>
            <w:r>
              <w:rPr>
                <w:rFonts w:eastAsia="Noto Sans" w:cs="Noto Sans" w:ascii="Noto Sans" w:hAnsi="Noto Sans"/>
                <w:b/>
                <w:bCs/>
                <w:i/>
                <w:iCs/>
                <w:sz w:val="20"/>
                <w:szCs w:val="20"/>
                <w:u w:val="single"/>
              </w:rPr>
              <w:t>breu</w:t>
            </w:r>
            <w:r>
              <w:rPr>
                <w:rFonts w:eastAsia="Noto Sans" w:cs="Noto Sans" w:ascii="Noto Sans" w:hAnsi="Noto Sans"/>
                <w:b/>
                <w:bCs/>
                <w:i/>
                <w:iCs/>
                <w:sz w:val="20"/>
                <w:szCs w:val="20"/>
              </w:rPr>
              <w:t xml:space="preserve"> resum de les edicions anteriors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bl>
    <w:p>
      <w:pPr>
        <w:pStyle w:val="Cosdeltext"/>
        <w:rPr>
          <w:rFonts w:ascii="Noto Sans" w:hAnsi="Noto Sans"/>
          <w:b/>
          <w:b/>
          <w:bCs/>
        </w:rPr>
      </w:pPr>
      <w:r>
        <w:rPr>
          <w:rFonts w:ascii="Noto Sans" w:hAnsi="Noto Sans"/>
          <w:b/>
          <w:bCs/>
        </w:rPr>
      </w:r>
    </w:p>
    <w:p>
      <w:pPr>
        <w:pStyle w:val="Cosdeltext"/>
        <w:rPr>
          <w:rFonts w:ascii="Noto Sans" w:hAnsi="Noto Sans"/>
          <w:b/>
          <w:b/>
          <w:bCs/>
        </w:rPr>
      </w:pPr>
      <w:r>
        <w:rPr>
          <w:rFonts w:ascii="Noto Sans" w:hAnsi="Noto Sans"/>
          <w:b/>
          <w:bCs/>
        </w:rPr>
      </w:r>
    </w:p>
    <w:p>
      <w:pPr>
        <w:pStyle w:val="Cosdeltext"/>
        <w:rPr>
          <w:rFonts w:ascii="Noto Sans" w:hAnsi="Noto Sans"/>
          <w:b/>
          <w:b/>
          <w:bCs/>
        </w:rPr>
      </w:pPr>
      <w:r>
        <w:rPr>
          <w:rFonts w:ascii="Noto Sans" w:hAnsi="Noto Sans"/>
          <w:b/>
          <w:bCs/>
        </w:rPr>
      </w:r>
    </w:p>
    <w:p>
      <w:pPr>
        <w:pStyle w:val="Cosdeltext"/>
        <w:rPr>
          <w:rFonts w:ascii="Noto Sans" w:hAnsi="Noto Sans"/>
          <w:b/>
          <w:b/>
          <w:bCs/>
          <w:sz w:val="22"/>
          <w:szCs w:val="22"/>
        </w:rPr>
      </w:pPr>
      <w:r>
        <w:rPr>
          <w:rFonts w:ascii="Noto Sans" w:hAnsi="Noto Sans"/>
          <w:b/>
          <w:bCs/>
          <w:sz w:val="22"/>
          <w:szCs w:val="22"/>
        </w:rPr>
        <w:t>12.1.b) Sostenibilitat (fins a 35 punts)</w:t>
      </w:r>
    </w:p>
    <w:tbl>
      <w:tblPr>
        <w:tblW w:w="14564"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3859"/>
        <w:gridCol w:w="10704"/>
      </w:tblGrid>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Normal"/>
              <w:jc w:val="center"/>
              <w:rPr>
                <w:rFonts w:ascii="Noto Sans" w:hAnsi="Noto Sans"/>
                <w:b/>
                <w:b/>
                <w:bCs/>
                <w:sz w:val="20"/>
                <w:szCs w:val="20"/>
              </w:rPr>
            </w:pPr>
            <w:r>
              <w:rPr>
                <w:rFonts w:ascii="Noto Sans" w:hAnsi="Noto Sans"/>
                <w:b/>
                <w:bCs/>
                <w:sz w:val="20"/>
                <w:szCs w:val="20"/>
              </w:rPr>
              <w:t>SOSTENIBILITAT ECONÒMICA</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b/>
                <w:bCs/>
                <w:sz w:val="20"/>
                <w:szCs w:val="20"/>
              </w:rPr>
            </w:pPr>
            <w:r>
              <w:rPr>
                <w:rFonts w:ascii="Noto Sans" w:hAnsi="Noto Sans"/>
                <w:b/>
                <w:bCs/>
                <w:sz w:val="20"/>
                <w:szCs w:val="20"/>
              </w:rPr>
              <w:t>Adequació del pressupost presentat a l’activitat realitzada.</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b/>
                <w:bCs/>
                <w:sz w:val="20"/>
                <w:szCs w:val="20"/>
              </w:rPr>
            </w:pPr>
            <w:r>
              <w:rPr>
                <w:rFonts w:ascii="Noto Sans" w:hAnsi="Noto Sans"/>
                <w:b/>
                <w:bCs/>
                <w:sz w:val="20"/>
                <w:szCs w:val="20"/>
              </w:rPr>
              <w:t>Equilibri entre el finançament públic i privat.</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b/>
                <w:bCs/>
                <w:sz w:val="20"/>
                <w:szCs w:val="20"/>
              </w:rPr>
            </w:pPr>
            <w:r>
              <w:rPr>
                <w:rFonts w:ascii="Noto Sans" w:hAnsi="Noto Sans"/>
                <w:b/>
                <w:bCs/>
                <w:sz w:val="20"/>
                <w:szCs w:val="20"/>
              </w:rPr>
              <w:t>Nivell d’ingressos generat per l’activitat.</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rPr>
              <w:t>SOSTENIBILITAT AMBIENTAL</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rPr>
            </w:pPr>
            <w:r>
              <w:rPr>
                <w:rFonts w:ascii="Noto Sans" w:hAnsi="Noto Sans"/>
                <w:b/>
                <w:bCs/>
                <w:sz w:val="20"/>
                <w:szCs w:val="20"/>
              </w:rPr>
              <w:t>Accions que afavoreixin la reducció de la petjada ecològica de l’esdeveniment: baixa petjada de carboni, compensació de la petjada de carboni dels vols, no utilització de materials d’un sol ús, gestió sostenible de residus, accions per reduir el consum d’aigua, millora de l’eficiència energètica, ús d’energies renovables, certificació ecològica, consum de productes ecològics i locals, foment del transport públic...</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rPr>
              <w:t>SOSTENIBILITAT SOCIAL</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b/>
                <w:bCs/>
                <w:sz w:val="20"/>
                <w:szCs w:val="20"/>
              </w:rPr>
            </w:pPr>
            <w:r>
              <w:rPr>
                <w:rFonts w:ascii="Noto Sans" w:hAnsi="Noto Sans"/>
                <w:b/>
                <w:bCs/>
                <w:sz w:val="20"/>
                <w:szCs w:val="20"/>
              </w:rPr>
              <w:t>Inclusió d’aspectes i/o temàtiques relacionades amb la perspectiva de gènere o la comunitat LGTBQI+.</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rPr>
            </w:pPr>
            <w:r>
              <w:rPr>
                <w:rFonts w:ascii="Noto Sans" w:hAnsi="Noto Sans"/>
                <w:b/>
                <w:bCs/>
                <w:sz w:val="20"/>
                <w:szCs w:val="20"/>
              </w:rPr>
              <w:t>Accions adreçades al foment de l’accessibilitat: millores en l’accessibilitat dels esdeveniment: ús de bucle magnètic, subtitulació, intèrprets de llengua de signes, autodescripció.</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rPr>
            </w:pPr>
            <w:r>
              <w:rPr>
                <w:rFonts w:ascii="Noto Sans" w:hAnsi="Noto Sans"/>
                <w:b/>
                <w:bCs/>
                <w:sz w:val="20"/>
                <w:szCs w:val="20"/>
              </w:rPr>
              <w:t>Accions que fomentin la diversitat/interculturalitat dins l’esdeveniment: inclusió de persones racialitzades, persones en risc d’exclusió social...</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rPr>
            </w:pPr>
            <w:r>
              <w:rPr>
                <w:rFonts w:ascii="Noto Sans" w:hAnsi="Noto Sans"/>
                <w:b/>
                <w:bCs/>
                <w:sz w:val="20"/>
                <w:szCs w:val="20"/>
              </w:rPr>
              <w:t xml:space="preserve">Projectes en què l’entitat organitzadora compti amb un pla d’Igualtat i/o protocol de prevenció i actuació contra l’assetjament sexual i per raó de gènere </w:t>
            </w:r>
          </w:p>
          <w:p>
            <w:pPr>
              <w:pStyle w:val="Normal"/>
              <w:jc w:val="right"/>
              <w:rPr>
                <w:rFonts w:ascii="Noto Sans" w:hAnsi="Noto Sans"/>
                <w:b/>
                <w:b/>
                <w:bCs/>
                <w:sz w:val="20"/>
                <w:szCs w:val="20"/>
              </w:rPr>
            </w:pPr>
            <w:r>
              <w:rPr>
                <w:rFonts w:ascii="Noto Sans" w:hAnsi="Noto Sans"/>
                <w:b/>
                <w:bCs/>
                <w:sz w:val="20"/>
                <w:szCs w:val="20"/>
              </w:rPr>
              <w:t>*</w:t>
            </w:r>
            <w:r>
              <w:rPr>
                <w:rFonts w:ascii="Noto Sans" w:hAnsi="Noto Sans"/>
                <w:b/>
                <w:bCs/>
                <w:i/>
                <w:iCs/>
                <w:sz w:val="20"/>
                <w:szCs w:val="20"/>
              </w:rPr>
              <w:t>Adjuntau el pla d’igualtat i/o protocol com a annex, si escau.</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i w:val="false"/>
                <w:i w:val="false"/>
                <w:strike w:val="false"/>
                <w:dstrike w:val="false"/>
                <w:outline w:val="false"/>
                <w:shadow w:val="false"/>
                <w:color w:val="auto"/>
                <w:spacing w:val="0"/>
                <w:kern w:val="2"/>
                <w:sz w:val="20"/>
                <w:szCs w:val="20"/>
                <w:u w:val="none"/>
                <w:em w:val="none"/>
              </w:rPr>
            </w:pPr>
            <w:r>
              <w:rPr>
                <w:rFonts w:ascii="Noto Sans" w:hAnsi="Noto Sans"/>
                <w:b/>
                <w:bCs/>
                <w:i w:val="false"/>
                <w:strike w:val="false"/>
                <w:dstrike w:val="false"/>
                <w:outline w:val="false"/>
                <w:shadow w:val="false"/>
                <w:color w:val="auto"/>
                <w:spacing w:val="0"/>
                <w:kern w:val="2"/>
                <w:sz w:val="20"/>
                <w:szCs w:val="20"/>
                <w:u w:val="none"/>
                <w:em w:val="none"/>
              </w:rPr>
              <w:t>Projectes en què la presència de les dones és part fonamental en la programació i en llocs de responsabilitat, de presa de decisions</w:t>
            </w:r>
          </w:p>
          <w:p>
            <w:pPr>
              <w:pStyle w:val="Normal"/>
              <w:jc w:val="left"/>
              <w:rPr>
                <w:rFonts w:ascii="Noto Sans" w:hAnsi="Noto Sans"/>
                <w:b/>
                <w:b/>
                <w:bCs/>
                <w:sz w:val="20"/>
                <w:szCs w:val="20"/>
              </w:rPr>
            </w:pPr>
            <w:r>
              <w:rPr>
                <w:rFonts w:ascii="Noto Sans" w:hAnsi="Noto Sans"/>
                <w:b/>
                <w:bCs/>
                <w:sz w:val="20"/>
                <w:szCs w:val="20"/>
              </w:rPr>
            </w:r>
          </w:p>
          <w:p>
            <w:pPr>
              <w:pStyle w:val="Normal"/>
              <w:jc w:val="right"/>
              <w:rPr>
                <w:rFonts w:ascii="Noto Sans" w:hAnsi="Noto Sans"/>
                <w:b/>
                <w:b/>
                <w:bCs/>
                <w:sz w:val="16"/>
                <w:szCs w:val="16"/>
              </w:rPr>
            </w:pPr>
            <w:r>
              <w:rPr>
                <w:rFonts w:ascii="Noto Sans" w:hAnsi="Noto Sans"/>
                <w:b/>
                <w:bCs/>
                <w:sz w:val="16"/>
                <w:szCs w:val="16"/>
              </w:rPr>
              <w:t>* Cal especificar el percentatge de dones dins el programa artístic i dins l’equip organitzador i indicar l’activitat que desenvolupen</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rPr>
              <w:t>SOSTENIBILITAT LINGÜÍSTICA</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rPr>
            </w:pPr>
            <w:r>
              <w:rPr>
                <w:rFonts w:ascii="Noto Sans" w:hAnsi="Noto Sans"/>
                <w:b/>
                <w:bCs/>
                <w:sz w:val="20"/>
                <w:szCs w:val="20"/>
              </w:rPr>
              <w:t xml:space="preserve"> </w:t>
            </w:r>
            <w:r>
              <w:rPr>
                <w:rFonts w:ascii="Noto Sans" w:hAnsi="Noto Sans"/>
                <w:b/>
                <w:bCs/>
                <w:i w:val="false"/>
                <w:strike w:val="false"/>
                <w:dstrike w:val="false"/>
                <w:outline w:val="false"/>
                <w:shadow w:val="false"/>
                <w:color w:val="auto"/>
                <w:spacing w:val="0"/>
                <w:kern w:val="2"/>
                <w:sz w:val="20"/>
                <w:szCs w:val="20"/>
                <w:u w:val="none"/>
                <w:em w:val="none"/>
              </w:rPr>
              <w:t>Projectes que fomentin l’ús del català i que emprin la llengua catalana durant el desenvolupament de les activitats.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b/>
                <w:bCs/>
                <w:sz w:val="20"/>
                <w:szCs w:val="20"/>
              </w:rPr>
            </w:pPr>
            <w:r>
              <w:rPr>
                <w:rFonts w:ascii="Noto Sans" w:hAnsi="Noto Sans"/>
                <w:b/>
                <w:bCs/>
                <w:sz w:val="20"/>
                <w:szCs w:val="20"/>
              </w:rPr>
              <w:t>Ús de la llengua catalana en tots els canals de difusió i comunicació de l'esdeveniment: notes de premsa, anuncis, xarxes socials.</w:t>
            </w:r>
          </w:p>
          <w:p>
            <w:pPr>
              <w:pStyle w:val="Normal"/>
              <w:jc w:val="right"/>
              <w:rPr>
                <w:rFonts w:ascii="Noto Sans" w:hAnsi="Noto Sans"/>
                <w:b/>
                <w:b/>
                <w:bCs/>
                <w:i/>
                <w:i/>
                <w:iCs/>
                <w:sz w:val="20"/>
                <w:szCs w:val="20"/>
              </w:rPr>
            </w:pPr>
            <w:r>
              <w:rPr>
                <w:rFonts w:ascii="Noto Sans" w:hAnsi="Noto Sans"/>
                <w:b/>
                <w:bCs/>
                <w:i/>
                <w:iCs/>
                <w:sz w:val="20"/>
                <w:szCs w:val="20"/>
              </w:rPr>
              <w:t>*Adjuntau exemples, si escau.</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bl>
    <w:p>
      <w:pPr>
        <w:pStyle w:val="Cosdeltext"/>
        <w:rPr/>
      </w:pPr>
      <w:r>
        <w:rPr/>
      </w:r>
    </w:p>
    <w:p>
      <w:pPr>
        <w:pStyle w:val="Cosdeltext"/>
        <w:rPr>
          <w:rFonts w:ascii="Noto Sans" w:hAnsi="Noto Sans"/>
          <w:b/>
          <w:b/>
          <w:bCs/>
          <w:sz w:val="22"/>
          <w:szCs w:val="22"/>
        </w:rPr>
      </w:pPr>
      <w:r>
        <w:rPr>
          <w:rFonts w:ascii="Noto Sans" w:hAnsi="Noto Sans"/>
          <w:b/>
          <w:bCs/>
          <w:sz w:val="22"/>
          <w:szCs w:val="22"/>
        </w:rPr>
        <w:t>12.1.c) Puntuació addicional (fins a 15 punts)</w:t>
      </w:r>
    </w:p>
    <w:tbl>
      <w:tblPr>
        <w:tblW w:w="14564"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3859"/>
        <w:gridCol w:w="10704"/>
      </w:tblGrid>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rPr>
              <w:t>CREACIÓ / FIRA B!</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b/>
                <w:bCs/>
                <w:sz w:val="20"/>
                <w:szCs w:val="20"/>
              </w:rPr>
            </w:pPr>
            <w:r>
              <w:rPr>
                <w:rFonts w:ascii="Noto Sans" w:hAnsi="Noto Sans"/>
                <w:b/>
                <w:bCs/>
                <w:sz w:val="20"/>
                <w:szCs w:val="20"/>
              </w:rPr>
              <w:t>L'esdeveniment inclou alguna obra beneficiària de les convocatòries de  d'ajudes de l'Institut d'Estudis Baleàrics per donar suport a la creació o algun dels artistes participants a Fira B! 2023 i 2024.</w:t>
            </w:r>
          </w:p>
          <w:p>
            <w:pPr>
              <w:pStyle w:val="Normal"/>
              <w:rPr>
                <w:rFonts w:ascii="Noto Sans" w:hAnsi="Noto Sans"/>
                <w:b/>
                <w:b/>
                <w:bCs/>
                <w:sz w:val="20"/>
                <w:szCs w:val="20"/>
              </w:rPr>
            </w:pPr>
            <w:r>
              <w:rPr>
                <w:rFonts w:ascii="Noto Sans" w:hAnsi="Noto Sans"/>
                <w:b/>
                <w:bCs/>
                <w:sz w:val="20"/>
                <w:szCs w:val="20"/>
              </w:rPr>
            </w:r>
          </w:p>
          <w:p>
            <w:pPr>
              <w:pStyle w:val="Normal"/>
              <w:jc w:val="right"/>
              <w:rPr/>
            </w:pPr>
            <w:r>
              <w:rPr>
                <w:rFonts w:ascii="Noto Sans" w:hAnsi="Noto Sans"/>
                <w:b/>
                <w:bCs/>
                <w:sz w:val="16"/>
                <w:szCs w:val="16"/>
              </w:rPr>
              <w:t xml:space="preserve">*Podeu consultar el web de l’IEB per conèixer els beneficiaris i </w:t>
            </w:r>
            <w:hyperlink r:id="rId3">
              <w:r>
                <w:rPr>
                  <w:rStyle w:val="EnlladInternet"/>
                  <w:rFonts w:ascii="Noto Sans" w:hAnsi="Noto Sans"/>
                  <w:b/>
                  <w:bCs/>
                  <w:sz w:val="16"/>
                  <w:szCs w:val="16"/>
                </w:rPr>
                <w:t>al web  de Fira B!</w:t>
              </w:r>
            </w:hyperlink>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rPr>
              <w:t>FORMENTERA</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b/>
                <w:bCs/>
                <w:sz w:val="20"/>
                <w:szCs w:val="20"/>
              </w:rPr>
            </w:pPr>
            <w:r>
              <w:rPr>
                <w:rFonts w:ascii="Noto Sans" w:hAnsi="Noto Sans"/>
                <w:b/>
                <w:bCs/>
                <w:sz w:val="20"/>
                <w:szCs w:val="20"/>
              </w:rPr>
              <w:t>L’esdeveniment inclou accions fetes per creadors, entitats o col·lectius naturals o residents a Formentera.</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Normal"/>
              <w:jc w:val="center"/>
              <w:rPr>
                <w:rFonts w:ascii="Noto Sans" w:hAnsi="Noto Sans"/>
                <w:b/>
                <w:b/>
                <w:bCs/>
                <w:sz w:val="20"/>
                <w:szCs w:val="20"/>
              </w:rPr>
            </w:pPr>
            <w:r>
              <w:rPr>
                <w:rFonts w:ascii="Noto Sans" w:hAnsi="Noto Sans"/>
                <w:b/>
                <w:bCs/>
                <w:sz w:val="20"/>
                <w:szCs w:val="20"/>
              </w:rPr>
              <w:t>EFEMÈRIDES I COMMEMORACIONS</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b/>
                <w:bCs/>
                <w:sz w:val="20"/>
                <w:szCs w:val="20"/>
              </w:rPr>
            </w:pPr>
            <w:r>
              <w:rPr>
                <w:rFonts w:ascii="Noto Sans" w:hAnsi="Noto Sans"/>
                <w:b/>
                <w:bCs/>
                <w:sz w:val="20"/>
                <w:szCs w:val="20"/>
              </w:rPr>
              <w:t xml:space="preserve">L’esdeveniment inclou alguna activitat relacionada amb l’any Llompart, la commemoració de l’edició del llibre </w:t>
            </w:r>
            <w:r>
              <w:rPr>
                <w:rFonts w:ascii="Noto Sans" w:hAnsi="Noto Sans"/>
                <w:b/>
                <w:bCs/>
                <w:i/>
                <w:iCs/>
                <w:sz w:val="20"/>
                <w:szCs w:val="20"/>
              </w:rPr>
              <w:t>Te deix, amor, la mar com a penyora</w:t>
            </w:r>
            <w:r>
              <w:rPr>
                <w:rFonts w:ascii="Noto Sans" w:hAnsi="Noto Sans"/>
                <w:b/>
                <w:bCs/>
                <w:sz w:val="20"/>
                <w:szCs w:val="20"/>
              </w:rPr>
              <w:t xml:space="preserve"> o el centenari de la mort d’Antoni Maura.</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bl>
    <w:p>
      <w:pPr>
        <w:pStyle w:val="Normal"/>
        <w:rPr>
          <w:rFonts w:ascii="Noto Sans" w:hAnsi="Noto Sans"/>
          <w:sz w:val="20"/>
          <w:szCs w:val="20"/>
        </w:rPr>
      </w:pPr>
      <w:r>
        <w:rPr>
          <w:rFonts w:ascii="Noto Sans" w:hAnsi="Noto Sans"/>
          <w:sz w:val="20"/>
          <w:szCs w:val="20"/>
        </w:rPr>
      </w:r>
    </w:p>
    <w:tbl>
      <w:tblPr>
        <w:tblW w:w="14564"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14564"/>
      </w:tblGrid>
      <w:tr>
        <w:trPr/>
        <w:tc>
          <w:tcPr>
            <w:tcW w:w="1456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pPr>
            <w:r>
              <w:rPr>
                <w:rFonts w:ascii="Noto Sans" w:hAnsi="Noto Sans"/>
                <w:b/>
                <w:bCs/>
                <w:sz w:val="20"/>
                <w:szCs w:val="20"/>
                <w:lang w:val="ca-ES"/>
              </w:rPr>
              <w:t>AUDITORIA  (2 punts addicionals)</w:t>
            </w:r>
          </w:p>
        </w:tc>
      </w:tr>
      <w:tr>
        <w:trPr/>
        <w:tc>
          <w:tcPr>
            <w:tcW w:w="1456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i w:val="false"/>
                <w:i w:val="false"/>
                <w:strike w:val="false"/>
                <w:dstrike w:val="false"/>
                <w:outline w:val="false"/>
                <w:shadow w:val="false"/>
                <w:u w:val="none"/>
                <w:em w:val="none"/>
                <w:lang w:val="ca-ES"/>
              </w:rPr>
            </w:pPr>
            <w:r>
              <w:rPr>
                <w:i w:val="false"/>
                <w:strike w:val="false"/>
                <w:dstrike w:val="false"/>
                <w:outline w:val="false"/>
                <w:shadow w:val="false"/>
                <w:u w:val="none"/>
                <w:em w:val="none"/>
                <w:lang w:val="ca-ES"/>
              </w:rPr>
            </w:r>
          </w:p>
          <w:p>
            <w:pPr>
              <w:pStyle w:val="Cosdeltext"/>
              <w:widowControl/>
              <w:numPr>
                <w:ilvl w:val="0"/>
                <w:numId w:val="0"/>
              </w:numPr>
              <w:spacing w:lineRule="auto" w:line="240" w:before="0" w:after="0"/>
              <w:ind w:left="0" w:right="0" w:hanging="0"/>
              <w:jc w:val="left"/>
              <w:rPr/>
            </w:pPr>
            <w:r>
              <w:rPr>
                <w:rFonts w:ascii="Noto Sans" w:hAnsi="Noto Sans"/>
                <w:sz w:val="20"/>
                <w:szCs w:val="20"/>
                <w:lang w:val="ca-ES" w:bidi="ar-SA"/>
              </w:rPr>
              <w:t>D’acord amb el punt 20.4: En el cas de projectes que superin les 50 factures aportades per fer la justificació, es recomana que presentin, ju</w:t>
            </w:r>
            <w:r>
              <w:rPr>
                <w:rStyle w:val="Fuentedeprrafopredeter"/>
                <w:rFonts w:ascii="Noto Sans" w:hAnsi="Noto Sans"/>
                <w:color w:val="000000"/>
                <w:sz w:val="20"/>
                <w:szCs w:val="20"/>
                <w:lang w:val="ca-ES" w:bidi="ar-SA"/>
              </w:rPr>
              <w:t xml:space="preserve">ntament amb la memòria econòmica justificativa esmentada, un informe signat per un auditor de comptes inscrit en el Registre Oficial d’Auditors de Comptes. D’aquesta manera es facilita la tramitació de l’expedient i se n’agilitza el pagament. L’auditor de comptes ha de dur a terme la revisió del grau de despesa corresponent als treballs efectuats per persones físiques o jurídiques domiciliades o amb seu permanent a les Illes Balears, així com la revisió de despesa subvencionable, d’acord amb el que estableix aquesta convocatòria i les normes de procediment. Aquest informe d’auditoria ha de seguir el format i contingut que s’estableix al Manual d’auditoria, el qual podeu descarregar del web </w:t>
            </w:r>
            <w:hyperlink r:id="rId4">
              <w:r>
                <w:rPr>
                  <w:rStyle w:val="EnlladInternet"/>
                  <w:rFonts w:ascii="Noto Sans" w:hAnsi="Noto Sans"/>
                  <w:i/>
                  <w:iCs/>
                  <w:sz w:val="20"/>
                  <w:szCs w:val="20"/>
                  <w:u w:val="none"/>
                  <w:lang w:val="ca-ES" w:bidi="ar-SA"/>
                </w:rPr>
                <w:t>http://www.iebalearics.org</w:t>
              </w:r>
            </w:hyperlink>
            <w:hyperlink r:id="rId5">
              <w:r>
                <w:rPr>
                  <w:rStyle w:val="Fuentedeprrafopredeter"/>
                  <w:rFonts w:ascii="Noto Sans" w:hAnsi="Noto Sans"/>
                  <w:color w:val="000000"/>
                  <w:sz w:val="20"/>
                  <w:szCs w:val="20"/>
                  <w:u w:val="none"/>
                  <w:lang w:val="ca-ES" w:bidi="ar-SA"/>
                </w:rPr>
                <w:t>.</w:t>
              </w:r>
            </w:hyperlink>
          </w:p>
          <w:p>
            <w:pPr>
              <w:pStyle w:val="LOnormal"/>
              <w:widowControl/>
              <w:spacing w:lineRule="auto" w:line="276" w:before="0" w:after="0"/>
              <w:ind w:left="0" w:right="0" w:hanging="0"/>
              <w:jc w:val="left"/>
              <w:rPr>
                <w:rFonts w:ascii="Noto Sans" w:hAnsi="Noto Sans"/>
                <w:sz w:val="20"/>
                <w:szCs w:val="20"/>
                <w:lang w:val="ca-ES" w:bidi="ar-SA"/>
              </w:rPr>
            </w:pPr>
            <w:r>
              <w:rPr>
                <w:rFonts w:ascii="Noto Sans" w:hAnsi="Noto Sans"/>
                <w:sz w:val="20"/>
                <w:szCs w:val="20"/>
                <w:lang w:val="ca-ES" w:bidi="ar-SA"/>
              </w:rPr>
            </w:r>
          </w:p>
          <w:p>
            <w:pPr>
              <w:pStyle w:val="LOnormal"/>
              <w:widowControl/>
              <w:spacing w:lineRule="auto" w:line="276" w:before="0" w:after="0"/>
              <w:ind w:left="0" w:right="0" w:hanging="0"/>
              <w:jc w:val="left"/>
              <w:rPr/>
            </w:pPr>
            <w:r>
              <w:rPr>
                <w:rFonts w:ascii="Noto Sans" w:hAnsi="Noto Sans"/>
                <w:sz w:val="20"/>
                <w:szCs w:val="20"/>
                <w:lang w:val="ca-ES" w:bidi="ar-SA"/>
              </w:rPr>
              <w:object>
                <v:shape id="control_shape_1" style="width:13.05pt;height:13.1pt" type="#shapetype_75"/>
                <w:control r:id="rId6" w:name="Botó d'opció 1" w:shapeid="control_shape_1"/>
              </w:object>
            </w:r>
            <w:r>
              <w:rPr>
                <w:rFonts w:ascii="Noto Sans" w:hAnsi="Noto Sans"/>
                <w:sz w:val="20"/>
                <w:szCs w:val="20"/>
                <w:lang w:val="ca-ES" w:bidi="ar-SA"/>
              </w:rPr>
              <w:t>Presentaré la justificació auditada d’acord amb el punt 20.4. de la convocatòria*.</w:t>
            </w:r>
          </w:p>
          <w:p>
            <w:pPr>
              <w:pStyle w:val="Cosdeltext"/>
              <w:widowControl/>
              <w:bidi w:val="0"/>
              <w:spacing w:lineRule="auto" w:line="288" w:before="0" w:after="83"/>
              <w:ind w:left="0" w:right="0" w:hanging="0"/>
              <w:jc w:val="left"/>
              <w:rPr/>
            </w:pPr>
            <w:r>
              <w:rPr>
                <w:rFonts w:eastAsia="Arial" w:cs="Arial" w:ascii="Noto Sans" w:hAnsi="Noto Sans"/>
                <w:color w:val="00000A"/>
                <w:kern w:val="0"/>
                <w:sz w:val="20"/>
                <w:szCs w:val="20"/>
                <w:lang w:val="ca-ES" w:eastAsia="zh-CN" w:bidi="ar-SA"/>
              </w:rPr>
              <w:object>
                <v:shape id="control_shape_2" style="width:13.05pt;height:13.1pt" type="#shapetype_75"/>
                <w:control r:id="rId7" w:name="Botó d'opció 1" w:shapeid="control_shape_2"/>
              </w:object>
            </w:r>
            <w:r>
              <w:rPr>
                <w:rFonts w:eastAsia="Arial" w:cs="Arial" w:ascii="Noto Sans" w:hAnsi="Noto Sans"/>
                <w:color w:val="00000A"/>
                <w:kern w:val="0"/>
                <w:sz w:val="20"/>
                <w:szCs w:val="20"/>
                <w:lang w:val="ca-ES" w:eastAsia="zh-CN" w:bidi="ar-SA"/>
              </w:rPr>
              <w:t>Presentaré la justificació sense auditoria.</w:t>
            </w:r>
          </w:p>
          <w:p>
            <w:pPr>
              <w:pStyle w:val="Cosdeltext"/>
              <w:widowControl/>
              <w:bidi w:val="0"/>
              <w:spacing w:lineRule="auto" w:line="288" w:before="0" w:after="140"/>
              <w:ind w:left="0" w:right="0" w:hanging="0"/>
              <w:jc w:val="left"/>
              <w:rPr/>
            </w:pPr>
            <w:bookmarkStart w:id="0" w:name="__DdeLink__3818_744621378"/>
            <w:r>
              <w:rPr>
                <w:rFonts w:eastAsia="Arial" w:cs="Arial" w:ascii="Noto Sans" w:hAnsi="Noto Sans"/>
                <w:i/>
                <w:iCs/>
                <w:color w:val="00000A"/>
                <w:kern w:val="0"/>
                <w:sz w:val="20"/>
                <w:szCs w:val="20"/>
                <w:lang w:val="ca-ES" w:eastAsia="zh-CN" w:bidi="ar-SA"/>
              </w:rPr>
              <w:t>*En el cas que es marqui aquesta casella i finalment no es presenti, es reduirà en un 10 % l’import atorgat.</w:t>
            </w:r>
            <w:bookmarkEnd w:id="0"/>
          </w:p>
        </w:tc>
      </w:tr>
    </w:tbl>
    <w:p>
      <w:pPr>
        <w:pStyle w:val="Normal"/>
        <w:rPr/>
      </w:pPr>
      <w:r>
        <w:rPr/>
      </w:r>
    </w:p>
    <w:sectPr>
      <w:headerReference w:type="default" r:id="rId8"/>
      <w:headerReference w:type="first" r:id="rId9"/>
      <w:footnotePr>
        <w:numFmt w:val="decimal"/>
      </w:footnotePr>
      <w:type w:val="nextPage"/>
      <w:pgSz w:orient="landscape" w:w="16838" w:h="11906"/>
      <w:pgMar w:left="1134" w:right="1134" w:header="1134" w:top="1693" w:footer="0" w:bottom="1134" w:gutter="0"/>
      <w:pgNumType w:fmt="decimal"/>
      <w:formProt w:val="false"/>
      <w:titlePg/>
      <w:textDirection w:val="lrTb"/>
      <w:docGrid w:type="default" w:linePitch="312"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Liberation Serif">
    <w:altName w:val="Times New Roman"/>
    <w:charset w:val="01"/>
    <w:family w:val="swiss"/>
    <w:pitch w:val="default"/>
  </w:font>
  <w:font w:name="Noto Sans">
    <w:charset w:val="01"/>
    <w:family w:val="swiss"/>
    <w:pitch w:val="default"/>
  </w:font>
  <w:font w:name="OpenSymbol">
    <w:altName w:val="Arial Unicode MS"/>
    <w:charset w:val="01"/>
    <w:family w:val="swiss"/>
    <w:pitch w:val="default"/>
  </w:font>
  <w:font w:name="Liberation Sans">
    <w:altName w:val="Arial"/>
    <w:charset w:val="01"/>
    <w:family w:val="swiss"/>
    <w:pitch w:val="default"/>
  </w:font>
  <w:font w:name="LegacySanITCBoo">
    <w:charset w:val="01"/>
    <w:family w:val="swiss"/>
    <w:pitch w:val="default"/>
  </w:font>
  <w:font w:name="OpenSymbol">
    <w:altName w:val="Arial Unicode MS"/>
    <w:charset w:val="01"/>
    <w:family w:val="auto"/>
    <w:pitch w:val="variable"/>
  </w:font>
</w:fonts>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footnote w:id="0" w:type="separator">
    <w:p>
      <w:r>
        <w:separator/>
      </w:r>
    </w:p>
  </w:footnote>
  <w:footnote w:id="1" w:type="continuationSeparator">
    <w:p>
      <w:r>
        <w:continuationSeparator/>
      </w:r>
    </w:p>
  </w:footnote>
  <w:footnote w:id="2">
    <w:p>
      <w:pPr>
        <w:pStyle w:val="Notaalpeu"/>
        <w:rPr/>
      </w:pPr>
      <w:r>
        <w:rPr>
          <w:rStyle w:val="Carctersdenotaalpeu"/>
        </w:rPr>
        <w:footnoteRef/>
      </w:r>
      <w:r>
        <w:rPr>
          <w:rFonts w:ascii="Noto Sans" w:hAnsi="Noto Sans"/>
          <w:sz w:val="18"/>
          <w:szCs w:val="18"/>
        </w:rPr>
        <w:tab/>
        <w:t>llevat dels projectes de la línia i), que només n’hauran de complir un.</w:t>
      </w:r>
    </w:p>
  </w:footnote>
  <w:footnote w:id="3">
    <w:p>
      <w:pPr>
        <w:pStyle w:val="Notaalpeu"/>
        <w:rPr/>
      </w:pPr>
      <w:r>
        <w:rPr>
          <w:rStyle w:val="Carctersdenotaalpeu"/>
        </w:rPr>
        <w:footnoteRef/>
      </w:r>
      <w:r>
        <w:rPr>
          <w:rFonts w:ascii="Noto Sans" w:hAnsi="Noto Sans"/>
          <w:sz w:val="18"/>
          <w:szCs w:val="18"/>
        </w:rPr>
        <w:tab/>
        <w:t>En el cas d’esdeveniments de l’àmbit audiovisual, han de tenir programades almenys dues obres de les Illes Balears remunerades i garantir la presència de mínim 3 professionals balears del sector audiovisual dins el marc de les activitats professionals i que aquests professionals siguin remunerats</w:t>
      </w:r>
    </w:p>
  </w:footnote>
  <w:footnote w:id="4">
    <w:p>
      <w:pPr>
        <w:pStyle w:val="Notaalpeu"/>
        <w:rPr/>
      </w:pPr>
      <w:r>
        <w:rPr>
          <w:rStyle w:val="Carctersdenotaalpeu"/>
        </w:rPr>
        <w:footnoteRef/>
      </w:r>
      <w:r>
        <w:rPr>
          <w:rFonts w:ascii="Noto Sans" w:hAnsi="Noto Sans"/>
          <w:sz w:val="18"/>
          <w:szCs w:val="18"/>
        </w:rPr>
        <w:tab/>
        <w:t>Aquesta memòria servirà perquè la comissió avaluadora puntuï el projecte. Heu de detallar tota la informació necessària. Tot allò que no quedi especificat i detallat en aquesta memòria, no valorarà. Hi podeu afegir tantes pàgines com us faci falta, però intentau respondre a tots els apartats en l’ordre corresponent.</w:t>
      </w:r>
    </w:p>
  </w:footnote>
</w:footnote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palera"/>
      <w:rPr/>
    </w:pPr>
    <w:r>
      <w:rPr/>
      <w:drawing>
        <wp:anchor behindDoc="1" distT="0" distB="0" distL="114300" distR="114300" simplePos="0" locked="0" layoutInCell="1" allowOverlap="1" relativeHeight="11">
          <wp:simplePos x="0" y="0"/>
          <wp:positionH relativeFrom="column">
            <wp:posOffset>-300990</wp:posOffset>
          </wp:positionH>
          <wp:positionV relativeFrom="paragraph">
            <wp:posOffset>-523240</wp:posOffset>
          </wp:positionV>
          <wp:extent cx="560705" cy="792480"/>
          <wp:effectExtent l="0" t="0" r="0" b="0"/>
          <wp:wrapNone/>
          <wp:docPr id="1" name="Imatge 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tge 2" descr=""/>
                  <pic:cNvPicPr>
                    <a:picLocks noChangeAspect="1" noChangeArrowheads="1"/>
                  </pic:cNvPicPr>
                </pic:nvPicPr>
                <pic:blipFill>
                  <a:blip r:embed="rId1"/>
                  <a:stretch>
                    <a:fillRect/>
                  </a:stretch>
                </pic:blipFill>
                <pic:spPr bwMode="auto">
                  <a:xfrm>
                    <a:off x="0" y="0"/>
                    <a:ext cx="560705" cy="792480"/>
                  </a:xfrm>
                  <a:prstGeom prst="rect">
                    <a:avLst/>
                  </a:prstGeom>
                </pic:spPr>
              </pic:pic>
            </a:graphicData>
          </a:graphic>
        </wp:anchor>
      </w:drawing>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palera"/>
      <w:rPr/>
    </w:pPr>
    <w:r>
      <w:rPr/>
      <w:drawing>
        <wp:anchor behindDoc="1" distT="0" distB="0" distL="0" distR="0" simplePos="0" locked="0" layoutInCell="1" allowOverlap="1" relativeHeight="2">
          <wp:simplePos x="0" y="0"/>
          <wp:positionH relativeFrom="column">
            <wp:posOffset>-120015</wp:posOffset>
          </wp:positionH>
          <wp:positionV relativeFrom="paragraph">
            <wp:posOffset>635</wp:posOffset>
          </wp:positionV>
          <wp:extent cx="2419985" cy="694690"/>
          <wp:effectExtent l="0" t="0" r="0" b="0"/>
          <wp:wrapSquare wrapText="largest"/>
          <wp:docPr id="2" name="Imatge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tge3" descr=""/>
                  <pic:cNvPicPr>
                    <a:picLocks noChangeAspect="1" noChangeArrowheads="1"/>
                  </pic:cNvPicPr>
                </pic:nvPicPr>
                <pic:blipFill>
                  <a:blip r:embed="rId1"/>
                  <a:stretch>
                    <a:fillRect/>
                  </a:stretch>
                </pic:blipFill>
                <pic:spPr bwMode="auto">
                  <a:xfrm>
                    <a:off x="0" y="0"/>
                    <a:ext cx="2419985" cy="694690"/>
                  </a:xfrm>
                  <a:prstGeom prst="rect">
                    <a:avLst/>
                  </a:prstGeom>
                </pic:spPr>
              </pic:pic>
            </a:graphicData>
          </a:graphic>
        </wp:anchor>
      </w:drawing>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bullet"/>
      <w:suff w:val="space"/>
      <w:lvlText w:val=""/>
      <w:lvlJc w:val="left"/>
      <w:pPr>
        <w:ind w:left="720" w:hanging="360"/>
      </w:pPr>
      <w:rPr>
        <w:rFonts w:ascii="Symbol" w:hAnsi="Symbol" w:cs="Symbol" w:hint="default"/>
        <w:sz w:val="20"/>
        <w:b/>
        <w:rFonts w:cs="OpenSymbol"/>
      </w:rPr>
    </w:lvl>
    <w:lvl w:ilvl="1">
      <w:start w:val="1"/>
      <w:numFmt w:val="bullet"/>
      <w:lvlText w:val="◦"/>
      <w:lvlJc w:val="left"/>
      <w:pPr>
        <w:tabs>
          <w:tab w:val="num" w:pos="1080"/>
        </w:tabs>
        <w:ind w:left="1080" w:hanging="360"/>
      </w:pPr>
      <w:rPr>
        <w:rFonts w:ascii="OpenSymbol" w:hAnsi="OpenSymbol" w:cs="OpenSymbol" w:hint="default"/>
        <w:rFonts w:cs="OpenSymbol"/>
      </w:rPr>
    </w:lvl>
    <w:lvl w:ilvl="2">
      <w:start w:val="1"/>
      <w:numFmt w:val="bullet"/>
      <w:lvlText w:val="▪"/>
      <w:lvlJc w:val="left"/>
      <w:pPr>
        <w:tabs>
          <w:tab w:val="num" w:pos="1440"/>
        </w:tabs>
        <w:ind w:left="1440" w:hanging="360"/>
      </w:pPr>
      <w:rPr>
        <w:rFonts w:ascii="OpenSymbol" w:hAnsi="OpenSymbol" w:cs="OpenSymbol" w:hint="default"/>
        <w:rFonts w:cs="OpenSymbol"/>
      </w:rPr>
    </w:lvl>
    <w:lvl w:ilvl="3">
      <w:start w:val="1"/>
      <w:numFmt w:val="bullet"/>
      <w:lvlText w:val=""/>
      <w:lvlJc w:val="left"/>
      <w:pPr>
        <w:tabs>
          <w:tab w:val="num" w:pos="1800"/>
        </w:tabs>
        <w:ind w:left="1800" w:hanging="360"/>
      </w:pPr>
      <w:rPr>
        <w:rFonts w:ascii="Symbol" w:hAnsi="Symbol" w:cs="Symbol" w:hint="default"/>
        <w:rFonts w:cs="OpenSymbol"/>
      </w:rPr>
    </w:lvl>
    <w:lvl w:ilvl="4">
      <w:start w:val="1"/>
      <w:numFmt w:val="bullet"/>
      <w:lvlText w:val="◦"/>
      <w:lvlJc w:val="left"/>
      <w:pPr>
        <w:tabs>
          <w:tab w:val="num" w:pos="2160"/>
        </w:tabs>
        <w:ind w:left="2160" w:hanging="360"/>
      </w:pPr>
      <w:rPr>
        <w:rFonts w:ascii="OpenSymbol" w:hAnsi="OpenSymbol" w:cs="OpenSymbol" w:hint="default"/>
        <w:rFonts w:cs="OpenSymbol"/>
      </w:rPr>
    </w:lvl>
    <w:lvl w:ilvl="5">
      <w:start w:val="1"/>
      <w:numFmt w:val="bullet"/>
      <w:lvlText w:val="▪"/>
      <w:lvlJc w:val="left"/>
      <w:pPr>
        <w:tabs>
          <w:tab w:val="num" w:pos="2520"/>
        </w:tabs>
        <w:ind w:left="2520" w:hanging="360"/>
      </w:pPr>
      <w:rPr>
        <w:rFonts w:ascii="OpenSymbol" w:hAnsi="OpenSymbol" w:cs="OpenSymbol" w:hint="default"/>
        <w:rFonts w:cs="OpenSymbol"/>
      </w:rPr>
    </w:lvl>
    <w:lvl w:ilvl="6">
      <w:start w:val="1"/>
      <w:numFmt w:val="bullet"/>
      <w:lvlText w:val=""/>
      <w:lvlJc w:val="left"/>
      <w:pPr>
        <w:tabs>
          <w:tab w:val="num" w:pos="2880"/>
        </w:tabs>
        <w:ind w:left="2880" w:hanging="360"/>
      </w:pPr>
      <w:rPr>
        <w:rFonts w:ascii="Symbol" w:hAnsi="Symbol" w:cs="Symbol" w:hint="default"/>
        <w:rFonts w:cs="OpenSymbol"/>
      </w:rPr>
    </w:lvl>
    <w:lvl w:ilvl="7">
      <w:start w:val="1"/>
      <w:numFmt w:val="bullet"/>
      <w:lvlText w:val="◦"/>
      <w:lvlJc w:val="left"/>
      <w:pPr>
        <w:tabs>
          <w:tab w:val="num" w:pos="3240"/>
        </w:tabs>
        <w:ind w:left="3240" w:hanging="360"/>
      </w:pPr>
      <w:rPr>
        <w:rFonts w:ascii="OpenSymbol" w:hAnsi="OpenSymbol" w:cs="OpenSymbol" w:hint="default"/>
        <w:rFonts w:cs="OpenSymbol"/>
      </w:rPr>
    </w:lvl>
    <w:lvl w:ilvl="8">
      <w:start w:val="1"/>
      <w:numFmt w:val="bullet"/>
      <w:lvlText w:val="▪"/>
      <w:lvlJc w:val="left"/>
      <w:pPr>
        <w:tabs>
          <w:tab w:val="num" w:pos="3600"/>
        </w:tabs>
        <w:ind w:left="3600" w:hanging="360"/>
      </w:pPr>
      <w:rPr>
        <w:rFonts w:ascii="OpenSymbol" w:hAnsi="OpenSymbol" w:cs="OpenSymbol" w:hint="default"/>
        <w:rFonts w:cs="OpenSymbol"/>
      </w:rPr>
    </w:lvl>
  </w:abstractNum>
  <w:abstractNum w:abstractNumId="2">
    <w:lvl w:ilvl="0">
      <w:start w:val="1"/>
      <w:numFmt w:val="bullet"/>
      <w:lvlText w:val=""/>
      <w:lvlJc w:val="left"/>
      <w:pPr>
        <w:tabs>
          <w:tab w:val="num" w:pos="720"/>
        </w:tabs>
        <w:ind w:left="720" w:hanging="360"/>
      </w:pPr>
      <w:rPr>
        <w:rFonts w:ascii="Symbol" w:hAnsi="Symbol" w:cs="Symbol" w:hint="default"/>
        <w:sz w:val="20"/>
        <w:b w:val="false"/>
        <w:rFonts w:cs="OpenSymbol"/>
      </w:rPr>
    </w:lvl>
    <w:lvl w:ilvl="1">
      <w:start w:val="1"/>
      <w:numFmt w:val="bullet"/>
      <w:lvlText w:val="◦"/>
      <w:lvlJc w:val="left"/>
      <w:pPr>
        <w:tabs>
          <w:tab w:val="num" w:pos="1080"/>
        </w:tabs>
        <w:ind w:left="1080" w:hanging="360"/>
      </w:pPr>
      <w:rPr>
        <w:rFonts w:ascii="OpenSymbol" w:hAnsi="OpenSymbol" w:cs="OpenSymbol" w:hint="default"/>
        <w:rFonts w:cs="OpenSymbol"/>
      </w:rPr>
    </w:lvl>
    <w:lvl w:ilvl="2">
      <w:start w:val="1"/>
      <w:numFmt w:val="bullet"/>
      <w:lvlText w:val="▪"/>
      <w:lvlJc w:val="left"/>
      <w:pPr>
        <w:tabs>
          <w:tab w:val="num" w:pos="1440"/>
        </w:tabs>
        <w:ind w:left="1440" w:hanging="360"/>
      </w:pPr>
      <w:rPr>
        <w:rFonts w:ascii="OpenSymbol" w:hAnsi="OpenSymbol" w:cs="OpenSymbol" w:hint="default"/>
        <w:rFonts w:cs="OpenSymbol"/>
      </w:rPr>
    </w:lvl>
    <w:lvl w:ilvl="3">
      <w:start w:val="1"/>
      <w:numFmt w:val="bullet"/>
      <w:lvlText w:val=""/>
      <w:lvlJc w:val="left"/>
      <w:pPr>
        <w:tabs>
          <w:tab w:val="num" w:pos="1800"/>
        </w:tabs>
        <w:ind w:left="1800" w:hanging="360"/>
      </w:pPr>
      <w:rPr>
        <w:rFonts w:ascii="Symbol" w:hAnsi="Symbol" w:cs="Symbol" w:hint="default"/>
        <w:rFonts w:cs="OpenSymbol"/>
      </w:rPr>
    </w:lvl>
    <w:lvl w:ilvl="4">
      <w:start w:val="1"/>
      <w:numFmt w:val="bullet"/>
      <w:lvlText w:val="◦"/>
      <w:lvlJc w:val="left"/>
      <w:pPr>
        <w:tabs>
          <w:tab w:val="num" w:pos="2160"/>
        </w:tabs>
        <w:ind w:left="2160" w:hanging="360"/>
      </w:pPr>
      <w:rPr>
        <w:rFonts w:ascii="OpenSymbol" w:hAnsi="OpenSymbol" w:cs="OpenSymbol" w:hint="default"/>
        <w:rFonts w:cs="OpenSymbol"/>
      </w:rPr>
    </w:lvl>
    <w:lvl w:ilvl="5">
      <w:start w:val="1"/>
      <w:numFmt w:val="bullet"/>
      <w:lvlText w:val="▪"/>
      <w:lvlJc w:val="left"/>
      <w:pPr>
        <w:tabs>
          <w:tab w:val="num" w:pos="2520"/>
        </w:tabs>
        <w:ind w:left="2520" w:hanging="360"/>
      </w:pPr>
      <w:rPr>
        <w:rFonts w:ascii="OpenSymbol" w:hAnsi="OpenSymbol" w:cs="OpenSymbol" w:hint="default"/>
        <w:rFonts w:cs="OpenSymbol"/>
      </w:rPr>
    </w:lvl>
    <w:lvl w:ilvl="6">
      <w:start w:val="1"/>
      <w:numFmt w:val="bullet"/>
      <w:lvlText w:val=""/>
      <w:lvlJc w:val="left"/>
      <w:pPr>
        <w:tabs>
          <w:tab w:val="num" w:pos="2880"/>
        </w:tabs>
        <w:ind w:left="2880" w:hanging="360"/>
      </w:pPr>
      <w:rPr>
        <w:rFonts w:ascii="Symbol" w:hAnsi="Symbol" w:cs="Symbol" w:hint="default"/>
        <w:rFonts w:cs="OpenSymbol"/>
      </w:rPr>
    </w:lvl>
    <w:lvl w:ilvl="7">
      <w:start w:val="1"/>
      <w:numFmt w:val="bullet"/>
      <w:lvlText w:val="◦"/>
      <w:lvlJc w:val="left"/>
      <w:pPr>
        <w:tabs>
          <w:tab w:val="num" w:pos="3240"/>
        </w:tabs>
        <w:ind w:left="3240" w:hanging="360"/>
      </w:pPr>
      <w:rPr>
        <w:rFonts w:ascii="OpenSymbol" w:hAnsi="OpenSymbol" w:cs="OpenSymbol" w:hint="default"/>
        <w:rFonts w:cs="OpenSymbol"/>
      </w:rPr>
    </w:lvl>
    <w:lvl w:ilvl="8">
      <w:start w:val="1"/>
      <w:numFmt w:val="bullet"/>
      <w:lvlText w:val="▪"/>
      <w:lvlJc w:val="left"/>
      <w:pPr>
        <w:tabs>
          <w:tab w:val="num" w:pos="3600"/>
        </w:tabs>
        <w:ind w:left="3600" w:hanging="360"/>
      </w:pPr>
      <w:rPr>
        <w:rFonts w:ascii="OpenSymbol" w:hAnsi="OpenSymbol" w:cs="OpenSymbol" w:hint="default"/>
        <w:rFonts w:cs="OpenSymbol"/>
      </w:rPr>
    </w:lvl>
  </w:abstractNum>
  <w:abstractNum w:abstractNumId="3">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20"/>
  <w:defaultTabStop w:val="936"/>
  <w:footnotePr>
    <w:numFmt w:val="decimal"/>
    <w:footnote w:id="0"/>
    <w:footnote w:id="1"/>
  </w:footnotePr>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Arial"/>
        <w:kern w:val="2"/>
        <w:szCs w:val="24"/>
        <w:lang w:val="ca-ES" w:eastAsia="zh-CN" w:bidi="hi-IN"/>
      </w:rPr>
    </w:rPrDefault>
    <w:pPrDefault>
      <w:pPr/>
    </w:pPrDefault>
  </w:docDefaults>
  <w:style w:type="paragraph" w:styleId="Normal">
    <w:name w:val="Normal"/>
    <w:qFormat/>
    <w:pPr>
      <w:widowControl/>
      <w:overflowPunct w:val="false"/>
      <w:bidi w:val="0"/>
      <w:jc w:val="left"/>
    </w:pPr>
    <w:rPr>
      <w:rFonts w:ascii="Liberation Serif" w:hAnsi="Liberation Serif" w:eastAsia="NSimSun" w:cs="Arial"/>
      <w:color w:val="auto"/>
      <w:kern w:val="2"/>
      <w:sz w:val="24"/>
      <w:szCs w:val="24"/>
      <w:lang w:val="ca-ES" w:eastAsia="zh-CN" w:bidi="hi-IN"/>
    </w:rPr>
  </w:style>
  <w:style w:type="paragraph" w:styleId="Encapalament3">
    <w:name w:val="Heading 3"/>
    <w:basedOn w:val="Encapalament"/>
    <w:next w:val="Cosdeltext"/>
    <w:qFormat/>
    <w:pPr>
      <w:spacing w:before="140" w:after="120"/>
      <w:outlineLvl w:val="2"/>
    </w:pPr>
    <w:rPr>
      <w:rFonts w:ascii="Liberation Serif" w:hAnsi="Liberation Serif" w:eastAsia="NSimSun" w:cs="Arial"/>
      <w:b/>
      <w:bCs/>
      <w:sz w:val="28"/>
      <w:szCs w:val="28"/>
    </w:rPr>
  </w:style>
  <w:style w:type="character" w:styleId="Mfasifort">
    <w:name w:val="Èmfasi fort"/>
    <w:qFormat/>
    <w:rPr>
      <w:b/>
      <w:bCs/>
    </w:rPr>
  </w:style>
  <w:style w:type="character" w:styleId="Carctersdenotaalpeu">
    <w:name w:val="Caràcters de nota al peu"/>
    <w:qFormat/>
    <w:rPr/>
  </w:style>
  <w:style w:type="character" w:styleId="Ncoradenotaalpeu">
    <w:name w:val="Àncora de nota al peu"/>
    <w:rPr>
      <w:vertAlign w:val="superscript"/>
    </w:rPr>
  </w:style>
  <w:style w:type="character" w:styleId="EnlladInternet">
    <w:name w:val="Enllaç d'Internet"/>
    <w:rPr>
      <w:color w:val="000080"/>
      <w:u w:val="single"/>
      <w:lang w:val="zxx" w:eastAsia="zxx" w:bidi="zxx"/>
    </w:rPr>
  </w:style>
  <w:style w:type="character" w:styleId="ListLabel10">
    <w:name w:val="ListLabel 10"/>
    <w:qFormat/>
    <w:rPr>
      <w:rFonts w:ascii="Noto Sans" w:hAnsi="Noto Sans"/>
      <w:u w:val="none"/>
    </w:rPr>
  </w:style>
  <w:style w:type="character" w:styleId="ListLabel11">
    <w:name w:val="ListLabel 11"/>
    <w:qFormat/>
    <w:rPr>
      <w:u w:val="none"/>
    </w:rPr>
  </w:style>
  <w:style w:type="character" w:styleId="ListLabel12">
    <w:name w:val="ListLabel 12"/>
    <w:qFormat/>
    <w:rPr>
      <w:u w:val="none"/>
    </w:rPr>
  </w:style>
  <w:style w:type="character" w:styleId="ListLabel13">
    <w:name w:val="ListLabel 13"/>
    <w:qFormat/>
    <w:rPr>
      <w:u w:val="none"/>
    </w:rPr>
  </w:style>
  <w:style w:type="character" w:styleId="ListLabel14">
    <w:name w:val="ListLabel 14"/>
    <w:qFormat/>
    <w:rPr>
      <w:u w:val="none"/>
    </w:rPr>
  </w:style>
  <w:style w:type="character" w:styleId="ListLabel15">
    <w:name w:val="ListLabel 15"/>
    <w:qFormat/>
    <w:rPr>
      <w:u w:val="none"/>
    </w:rPr>
  </w:style>
  <w:style w:type="character" w:styleId="ListLabel16">
    <w:name w:val="ListLabel 16"/>
    <w:qFormat/>
    <w:rPr>
      <w:u w:val="none"/>
    </w:rPr>
  </w:style>
  <w:style w:type="character" w:styleId="ListLabel17">
    <w:name w:val="ListLabel 17"/>
    <w:qFormat/>
    <w:rPr>
      <w:u w:val="none"/>
    </w:rPr>
  </w:style>
  <w:style w:type="character" w:styleId="ListLabel18">
    <w:name w:val="ListLabel 18"/>
    <w:qFormat/>
    <w:rPr>
      <w:u w:val="none"/>
    </w:rPr>
  </w:style>
  <w:style w:type="character" w:styleId="Fuentedeprrafopredeter">
    <w:name w:val="Fuente de párrafo predeter."/>
    <w:qFormat/>
    <w:rPr/>
  </w:style>
  <w:style w:type="character" w:styleId="ListLabel266">
    <w:name w:val="ListLabel 266"/>
    <w:qFormat/>
    <w:rPr>
      <w:b w:val="false"/>
      <w:bCs w:val="false"/>
      <w:i w:val="false"/>
      <w:iCs/>
    </w:rPr>
  </w:style>
  <w:style w:type="character" w:styleId="ListLabel267">
    <w:name w:val="ListLabel 267"/>
    <w:qFormat/>
    <w:rPr>
      <w:rFonts w:ascii="Noto Sans" w:hAnsi="Noto Sans" w:cs="OpenSymbol"/>
      <w:sz w:val="22"/>
    </w:rPr>
  </w:style>
  <w:style w:type="character" w:styleId="ListLabel268">
    <w:name w:val="ListLabel 268"/>
    <w:qFormat/>
    <w:rPr>
      <w:rFonts w:cs="Symbol"/>
    </w:rPr>
  </w:style>
  <w:style w:type="character" w:styleId="ListLabel269">
    <w:name w:val="ListLabel 269"/>
    <w:qFormat/>
    <w:rPr>
      <w:rFonts w:cs="Symbol"/>
    </w:rPr>
  </w:style>
  <w:style w:type="character" w:styleId="ListLabel270">
    <w:name w:val="ListLabel 270"/>
    <w:qFormat/>
    <w:rPr>
      <w:rFonts w:cs="Symbol"/>
    </w:rPr>
  </w:style>
  <w:style w:type="character" w:styleId="ListLabel271">
    <w:name w:val="ListLabel 271"/>
    <w:qFormat/>
    <w:rPr>
      <w:rFonts w:cs="Symbol"/>
    </w:rPr>
  </w:style>
  <w:style w:type="character" w:styleId="ListLabel272">
    <w:name w:val="ListLabel 272"/>
    <w:qFormat/>
    <w:rPr>
      <w:rFonts w:cs="Symbol"/>
    </w:rPr>
  </w:style>
  <w:style w:type="character" w:styleId="Pics">
    <w:name w:val="Pics"/>
    <w:qFormat/>
    <w:rPr>
      <w:rFonts w:ascii="OpenSymbol" w:hAnsi="OpenSymbol" w:eastAsia="OpenSymbol" w:cs="OpenSymbol"/>
    </w:rPr>
  </w:style>
  <w:style w:type="character" w:styleId="ListLabel56">
    <w:name w:val="ListLabel 56"/>
    <w:qFormat/>
    <w:rPr>
      <w:rFonts w:cs="OpenSymbol"/>
    </w:rPr>
  </w:style>
  <w:style w:type="character" w:styleId="ListLabel57">
    <w:name w:val="ListLabel 57"/>
    <w:qFormat/>
    <w:rPr>
      <w:rFonts w:cs="OpenSymbol"/>
    </w:rPr>
  </w:style>
  <w:style w:type="character" w:styleId="ListLabel58">
    <w:name w:val="ListLabel 58"/>
    <w:qFormat/>
    <w:rPr>
      <w:rFonts w:cs="OpenSymbol"/>
    </w:rPr>
  </w:style>
  <w:style w:type="character" w:styleId="ListLabel59">
    <w:name w:val="ListLabel 59"/>
    <w:qFormat/>
    <w:rPr>
      <w:rFonts w:ascii="Noto Sans" w:hAnsi="Noto Sans" w:cs="OpenSymbol"/>
      <w:b w:val="false"/>
      <w:sz w:val="22"/>
    </w:rPr>
  </w:style>
  <w:style w:type="character" w:styleId="ListLabel60">
    <w:name w:val="ListLabel 60"/>
    <w:qFormat/>
    <w:rPr>
      <w:rFonts w:cs="OpenSymbol"/>
    </w:rPr>
  </w:style>
  <w:style w:type="character" w:styleId="ListLabel61">
    <w:name w:val="ListLabel 61"/>
    <w:qFormat/>
    <w:rPr>
      <w:rFonts w:cs="OpenSymbol"/>
    </w:rPr>
  </w:style>
  <w:style w:type="character" w:styleId="ListLabel62">
    <w:name w:val="ListLabel 62"/>
    <w:qFormat/>
    <w:rPr>
      <w:rFonts w:cs="OpenSymbol"/>
    </w:rPr>
  </w:style>
  <w:style w:type="character" w:styleId="ListLabel63">
    <w:name w:val="ListLabel 63"/>
    <w:qFormat/>
    <w:rPr>
      <w:rFonts w:cs="OpenSymbol"/>
    </w:rPr>
  </w:style>
  <w:style w:type="character" w:styleId="ListLabel64">
    <w:name w:val="ListLabel 64"/>
    <w:qFormat/>
    <w:rPr>
      <w:rFonts w:cs="OpenSymbol"/>
    </w:rPr>
  </w:style>
  <w:style w:type="character" w:styleId="ListLabel78">
    <w:name w:val="ListLabel 78"/>
    <w:qFormat/>
    <w:rPr>
      <w:rFonts w:ascii="Noto Sans" w:hAnsi="Noto Sans"/>
      <w:i/>
      <w:iCs/>
      <w:sz w:val="20"/>
      <w:szCs w:val="20"/>
      <w:u w:val="none"/>
      <w:lang w:val="ca-ES" w:bidi="ar-SA"/>
    </w:rPr>
  </w:style>
  <w:style w:type="character" w:styleId="ListLabel79">
    <w:name w:val="ListLabel 79"/>
    <w:qFormat/>
    <w:rPr>
      <w:rFonts w:ascii="Noto Sans" w:hAnsi="Noto Sans"/>
      <w:color w:val="000000"/>
      <w:sz w:val="20"/>
      <w:szCs w:val="20"/>
      <w:u w:val="none"/>
      <w:lang w:val="ca-ES" w:bidi="ar-SA"/>
    </w:rPr>
  </w:style>
  <w:style w:type="character" w:styleId="Ncoradenotafinal">
    <w:name w:val="Àncora de nota final"/>
    <w:rPr>
      <w:vertAlign w:val="superscript"/>
    </w:rPr>
  </w:style>
  <w:style w:type="character" w:styleId="Carctersdenotafinal">
    <w:name w:val="Caràcters de nota final"/>
    <w:qFormat/>
    <w:rPr/>
  </w:style>
  <w:style w:type="character" w:styleId="ListLabel273">
    <w:name w:val="ListLabel 273"/>
    <w:qFormat/>
    <w:rPr>
      <w:b w:val="false"/>
      <w:bCs w:val="false"/>
      <w:i w:val="false"/>
      <w:iCs/>
    </w:rPr>
  </w:style>
  <w:style w:type="character" w:styleId="ListLabel274">
    <w:name w:val="ListLabel 274"/>
    <w:qFormat/>
    <w:rPr>
      <w:rFonts w:cs="OpenSymbol"/>
      <w:sz w:val="22"/>
    </w:rPr>
  </w:style>
  <w:style w:type="character" w:styleId="ListLabel275">
    <w:name w:val="ListLabel 275"/>
    <w:qFormat/>
    <w:rPr>
      <w:rFonts w:cs="Symbol"/>
    </w:rPr>
  </w:style>
  <w:style w:type="character" w:styleId="ListLabel276">
    <w:name w:val="ListLabel 276"/>
    <w:qFormat/>
    <w:rPr>
      <w:rFonts w:cs="Symbol"/>
    </w:rPr>
  </w:style>
  <w:style w:type="character" w:styleId="ListLabel277">
    <w:name w:val="ListLabel 277"/>
    <w:qFormat/>
    <w:rPr>
      <w:rFonts w:cs="Symbol"/>
    </w:rPr>
  </w:style>
  <w:style w:type="character" w:styleId="ListLabel278">
    <w:name w:val="ListLabel 278"/>
    <w:qFormat/>
    <w:rPr>
      <w:rFonts w:cs="Symbol"/>
    </w:rPr>
  </w:style>
  <w:style w:type="character" w:styleId="ListLabel279">
    <w:name w:val="ListLabel 279"/>
    <w:qFormat/>
    <w:rPr>
      <w:rFonts w:cs="Symbol"/>
    </w:rPr>
  </w:style>
  <w:style w:type="character" w:styleId="ListLabel280">
    <w:name w:val="ListLabel 280"/>
    <w:qFormat/>
    <w:rPr>
      <w:rFonts w:ascii="Noto Sans" w:hAnsi="Noto Sans" w:cs="OpenSymbol"/>
      <w:b/>
      <w:sz w:val="20"/>
    </w:rPr>
  </w:style>
  <w:style w:type="character" w:styleId="ListLabel281">
    <w:name w:val="ListLabel 281"/>
    <w:qFormat/>
    <w:rPr>
      <w:rFonts w:cs="OpenSymbol"/>
    </w:rPr>
  </w:style>
  <w:style w:type="character" w:styleId="ListLabel282">
    <w:name w:val="ListLabel 282"/>
    <w:qFormat/>
    <w:rPr>
      <w:rFonts w:cs="OpenSymbol"/>
    </w:rPr>
  </w:style>
  <w:style w:type="character" w:styleId="ListLabel283">
    <w:name w:val="ListLabel 283"/>
    <w:qFormat/>
    <w:rPr>
      <w:rFonts w:cs="OpenSymbol"/>
    </w:rPr>
  </w:style>
  <w:style w:type="character" w:styleId="ListLabel284">
    <w:name w:val="ListLabel 284"/>
    <w:qFormat/>
    <w:rPr>
      <w:rFonts w:cs="OpenSymbol"/>
    </w:rPr>
  </w:style>
  <w:style w:type="character" w:styleId="ListLabel285">
    <w:name w:val="ListLabel 285"/>
    <w:qFormat/>
    <w:rPr>
      <w:rFonts w:cs="OpenSymbol"/>
    </w:rPr>
  </w:style>
  <w:style w:type="character" w:styleId="ListLabel286">
    <w:name w:val="ListLabel 286"/>
    <w:qFormat/>
    <w:rPr>
      <w:rFonts w:cs="OpenSymbol"/>
    </w:rPr>
  </w:style>
  <w:style w:type="character" w:styleId="ListLabel287">
    <w:name w:val="ListLabel 287"/>
    <w:qFormat/>
    <w:rPr>
      <w:rFonts w:cs="OpenSymbol"/>
    </w:rPr>
  </w:style>
  <w:style w:type="character" w:styleId="ListLabel288">
    <w:name w:val="ListLabel 288"/>
    <w:qFormat/>
    <w:rPr>
      <w:rFonts w:cs="OpenSymbol"/>
    </w:rPr>
  </w:style>
  <w:style w:type="character" w:styleId="ListLabel289">
    <w:name w:val="ListLabel 289"/>
    <w:qFormat/>
    <w:rPr>
      <w:rFonts w:ascii="Noto Sans" w:hAnsi="Noto Sans" w:cs="OpenSymbol"/>
      <w:b w:val="false"/>
      <w:sz w:val="20"/>
    </w:rPr>
  </w:style>
  <w:style w:type="character" w:styleId="ListLabel290">
    <w:name w:val="ListLabel 290"/>
    <w:qFormat/>
    <w:rPr>
      <w:rFonts w:cs="OpenSymbol"/>
    </w:rPr>
  </w:style>
  <w:style w:type="character" w:styleId="ListLabel291">
    <w:name w:val="ListLabel 291"/>
    <w:qFormat/>
    <w:rPr>
      <w:rFonts w:cs="OpenSymbol"/>
    </w:rPr>
  </w:style>
  <w:style w:type="character" w:styleId="ListLabel292">
    <w:name w:val="ListLabel 292"/>
    <w:qFormat/>
    <w:rPr>
      <w:rFonts w:cs="OpenSymbol"/>
    </w:rPr>
  </w:style>
  <w:style w:type="character" w:styleId="ListLabel293">
    <w:name w:val="ListLabel 293"/>
    <w:qFormat/>
    <w:rPr>
      <w:rFonts w:cs="OpenSymbol"/>
    </w:rPr>
  </w:style>
  <w:style w:type="character" w:styleId="ListLabel294">
    <w:name w:val="ListLabel 294"/>
    <w:qFormat/>
    <w:rPr>
      <w:rFonts w:cs="OpenSymbol"/>
    </w:rPr>
  </w:style>
  <w:style w:type="character" w:styleId="ListLabel295">
    <w:name w:val="ListLabel 295"/>
    <w:qFormat/>
    <w:rPr>
      <w:rFonts w:cs="OpenSymbol"/>
    </w:rPr>
  </w:style>
  <w:style w:type="character" w:styleId="ListLabel296">
    <w:name w:val="ListLabel 296"/>
    <w:qFormat/>
    <w:rPr>
      <w:rFonts w:cs="OpenSymbol"/>
    </w:rPr>
  </w:style>
  <w:style w:type="character" w:styleId="ListLabel297">
    <w:name w:val="ListLabel 297"/>
    <w:qFormat/>
    <w:rPr>
      <w:rFonts w:cs="OpenSymbol"/>
    </w:rPr>
  </w:style>
  <w:style w:type="character" w:styleId="ListLabel298">
    <w:name w:val="ListLabel 298"/>
    <w:qFormat/>
    <w:rPr>
      <w:rFonts w:ascii="Noto Sans" w:hAnsi="Noto Sans"/>
      <w:b/>
      <w:bCs/>
      <w:sz w:val="16"/>
      <w:szCs w:val="16"/>
    </w:rPr>
  </w:style>
  <w:style w:type="character" w:styleId="ListLabel299">
    <w:name w:val="ListLabel 299"/>
    <w:qFormat/>
    <w:rPr>
      <w:rFonts w:ascii="Noto Sans" w:hAnsi="Noto Sans"/>
      <w:i/>
      <w:iCs/>
      <w:sz w:val="20"/>
      <w:szCs w:val="20"/>
      <w:u w:val="none"/>
      <w:lang w:val="ca-ES" w:bidi="ar-SA"/>
    </w:rPr>
  </w:style>
  <w:style w:type="character" w:styleId="ListLabel300">
    <w:name w:val="ListLabel 300"/>
    <w:qFormat/>
    <w:rPr>
      <w:rFonts w:ascii="Noto Sans" w:hAnsi="Noto Sans"/>
      <w:color w:val="000000"/>
      <w:sz w:val="20"/>
      <w:szCs w:val="20"/>
      <w:u w:val="none"/>
      <w:lang w:val="ca-ES" w:bidi="ar-SA"/>
    </w:rPr>
  </w:style>
  <w:style w:type="paragraph" w:styleId="Encapalament">
    <w:name w:val="Encapçalament"/>
    <w:basedOn w:val="Normal"/>
    <w:next w:val="Cosdeltext"/>
    <w:qFormat/>
    <w:pPr>
      <w:keepNext w:val="true"/>
      <w:spacing w:before="240" w:after="120"/>
    </w:pPr>
    <w:rPr>
      <w:rFonts w:ascii="Liberation Sans" w:hAnsi="Liberation Sans" w:eastAsia="Microsoft YaHei" w:cs="Arial"/>
      <w:sz w:val="28"/>
      <w:szCs w:val="28"/>
    </w:rPr>
  </w:style>
  <w:style w:type="paragraph" w:styleId="Cosdeltext">
    <w:name w:val="Body Text"/>
    <w:basedOn w:val="Normal"/>
    <w:pPr>
      <w:spacing w:lineRule="auto" w:line="276" w:before="0" w:after="140"/>
    </w:pPr>
    <w:rPr/>
  </w:style>
  <w:style w:type="paragraph" w:styleId="Llista">
    <w:name w:val="List"/>
    <w:basedOn w:val="Cosdeltext"/>
    <w:pPr/>
    <w:rPr>
      <w:rFonts w:cs="Arial"/>
    </w:rPr>
  </w:style>
  <w:style w:type="paragraph" w:styleId="Llegenda">
    <w:name w:val="Caption"/>
    <w:basedOn w:val="Normal"/>
    <w:qFormat/>
    <w:pPr>
      <w:suppressLineNumbers/>
      <w:spacing w:before="120" w:after="120"/>
    </w:pPr>
    <w:rPr>
      <w:rFonts w:cs="Arial"/>
      <w:i/>
      <w:iCs/>
      <w:sz w:val="24"/>
      <w:szCs w:val="24"/>
    </w:rPr>
  </w:style>
  <w:style w:type="paragraph" w:styleId="Ndex">
    <w:name w:val="Índex"/>
    <w:basedOn w:val="Normal"/>
    <w:qFormat/>
    <w:pPr>
      <w:suppressLineNumbers/>
    </w:pPr>
    <w:rPr>
      <w:rFonts w:cs="Arial"/>
    </w:rPr>
  </w:style>
  <w:style w:type="paragraph" w:styleId="Contingutdelataula">
    <w:name w:val="Contingut de la taula"/>
    <w:basedOn w:val="Normal"/>
    <w:qFormat/>
    <w:pPr>
      <w:suppressLineNumbers/>
    </w:pPr>
    <w:rPr/>
  </w:style>
  <w:style w:type="paragraph" w:styleId="Encapalamentdelataula">
    <w:name w:val="Encapçalament de la taula"/>
    <w:basedOn w:val="Contingutdelataula"/>
    <w:qFormat/>
    <w:pPr>
      <w:suppressLineNumbers/>
      <w:jc w:val="center"/>
    </w:pPr>
    <w:rPr>
      <w:b/>
      <w:bCs/>
    </w:rPr>
  </w:style>
  <w:style w:type="paragraph" w:styleId="Notaalpeu">
    <w:name w:val="Footnote Text"/>
    <w:basedOn w:val="Normal"/>
    <w:pPr>
      <w:suppressLineNumbers/>
      <w:ind w:left="339" w:right="0" w:hanging="339"/>
    </w:pPr>
    <w:rPr>
      <w:sz w:val="20"/>
      <w:szCs w:val="20"/>
    </w:rPr>
  </w:style>
  <w:style w:type="paragraph" w:styleId="Capalera">
    <w:name w:val="Header"/>
    <w:basedOn w:val="Normal"/>
    <w:pPr>
      <w:suppressLineNumbers/>
      <w:tabs>
        <w:tab w:val="clear" w:pos="936"/>
        <w:tab w:val="center" w:pos="7285" w:leader="none"/>
        <w:tab w:val="right" w:pos="14570" w:leader="none"/>
      </w:tabs>
    </w:pPr>
    <w:rPr/>
  </w:style>
  <w:style w:type="paragraph" w:styleId="LOnormal">
    <w:name w:val="LO-normal"/>
    <w:qFormat/>
    <w:pPr>
      <w:widowControl/>
      <w:overflowPunct w:val="false"/>
      <w:bidi w:val="0"/>
      <w:spacing w:before="0" w:after="120"/>
      <w:jc w:val="both"/>
    </w:pPr>
    <w:rPr>
      <w:rFonts w:ascii="LegacySanITCBoo" w:hAnsi="LegacySanITCBoo" w:eastAsia="LegacySanITCBoo" w:cs="LegacySanITCBoo"/>
      <w:color w:val="000000"/>
      <w:kern w:val="2"/>
      <w:sz w:val="26"/>
      <w:szCs w:val="26"/>
      <w:lang w:val="es-ES" w:eastAsia="zh-CN" w:bidi="ar-SA"/>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control" Target="activeX/activeX1.xml"/><Relationship Id="rId3" Type="http://schemas.openxmlformats.org/officeDocument/2006/relationships/hyperlink" Target="http://www.firab.org/en/programacion/2023/" TargetMode="External"/><Relationship Id="rId4" Type="http://schemas.openxmlformats.org/officeDocument/2006/relationships/hyperlink" Target="http://www.iebalearics.org/" TargetMode="External"/><Relationship Id="rId5" Type="http://schemas.openxmlformats.org/officeDocument/2006/relationships/hyperlink" Target="http://www.iebalearics.org.v/" TargetMode="External"/><Relationship Id="rId6" Type="http://schemas.openxmlformats.org/officeDocument/2006/relationships/control" Target="activeX/activeX2.xml"/><Relationship Id="rId7" Type="http://schemas.openxmlformats.org/officeDocument/2006/relationships/control" Target="activeX/activeX3.xml"/><Relationship Id="rId8" Type="http://schemas.openxmlformats.org/officeDocument/2006/relationships/header" Target="header1.xml"/><Relationship Id="rId9" Type="http://schemas.openxmlformats.org/officeDocument/2006/relationships/header" Target="header2.xml"/><Relationship Id="rId10" Type="http://schemas.openxmlformats.org/officeDocument/2006/relationships/footnotes" Target="footnotes.xml"/><Relationship Id="rId11" Type="http://schemas.openxmlformats.org/officeDocument/2006/relationships/numbering" Target="numbering.xml"/><Relationship Id="rId12" Type="http://schemas.openxmlformats.org/officeDocument/2006/relationships/fontTable" Target="fontTable.xml"/><Relationship Id="rId13" Type="http://schemas.openxmlformats.org/officeDocument/2006/relationships/settings" Target="settings.xml"/>
</Relationships>
</file>

<file path=word/_rels/header1.xml.rels><?xml version="1.0" encoding="UTF-8"?>
<Relationships xmlns="http://schemas.openxmlformats.org/package/2006/relationships"><Relationship Id="rId1" Type="http://schemas.openxmlformats.org/officeDocument/2006/relationships/image" Target="media/image1.png"/>
</Relationships>
</file>

<file path=word/_rels/header2.xml.rels><?xml version="1.0" encoding="UTF-8"?>
<Relationships xmlns="http://schemas.openxmlformats.org/package/2006/relationships"><Relationship Id="rId1" Type="http://schemas.openxmlformats.org/officeDocument/2006/relationships/image" Target="media/image2.png"/>
</Relationships>
</file>

<file path=word/activeX/_rels/activeX1.xml.rels><?xml version="1.0" encoding="UTF-8"?>
<Relationships xmlns="http://schemas.openxmlformats.org/package/2006/relationships"><Relationship Id="rId1" Type="http://schemas.microsoft.com/office/2006/relationships/activeXControlBinary" Target="activeX1.bin"/>
</Relationships>
</file>

<file path=word/activeX/_rels/activeX2.xml.rels><?xml version="1.0" encoding="UTF-8"?>
<Relationships xmlns="http://schemas.openxmlformats.org/package/2006/relationships"><Relationship Id="rId1" Type="http://schemas.microsoft.com/office/2006/relationships/activeXControlBinary" Target="activeX2.bin"/>
</Relationships>
</file>

<file path=word/activeX/_rels/activeX3.xml.rels><?xml version="1.0" encoding="UTF-8"?>
<Relationships xmlns="http://schemas.openxmlformats.org/package/2006/relationships"><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BD21D40-EC42-11CE-9e0d-00aa006002f3}" ax:persistence="persistStorage" r:id="rId1"/>
</file>

<file path=word/activeX/activeX2.xml><?xml version="1.0" encoding="utf-8"?>
<ax:ocx xmlns:ax="http://schemas.microsoft.com/office/2006/activeX" xmlns:r="http://schemas.openxmlformats.org/officeDocument/2006/relationships" ax:classid="{8BD21D50-EC42-11CE-9e0d-00aa006002f3}" ax:persistence="persistStorage" r:id="rId1"/>
</file>

<file path=word/activeX/activeX3.xml><?xml version="1.0" encoding="utf-8"?>
<ax:ocx xmlns:ax="http://schemas.microsoft.com/office/2006/activeX" xmlns:r="http://schemas.openxmlformats.org/officeDocument/2006/relationships" ax:classid="{8BD21D50-EC42-11CE-9e0d-00aa006002f3}" ax:persistence="persistStorage" r:id="rId1"/>
</file>

<file path=docProps/app.xml><?xml version="1.0" encoding="utf-8"?>
<Properties xmlns="http://schemas.openxmlformats.org/officeDocument/2006/extended-properties" xmlns:vt="http://schemas.openxmlformats.org/officeDocument/2006/docPropsVTypes">
  <Template/>
  <TotalTime>442</TotalTime>
  <Application>LibreOffice/6.1.5.2$Windows_x86 LibreOffice_project/90f8dcf33c87b3705e78202e3df5142b201bd805</Application>
  <Pages>10</Pages>
  <Words>1392</Words>
  <Characters>8032</Characters>
  <CharactersWithSpaces>9339</CharactersWithSpaces>
  <Paragraphs>90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2023-01-10T09:41:58Z</dcterms:created>
  <dc:creator/>
  <dc:description/>
  <dc:language>ca-ES</dc:language>
  <cp:lastModifiedBy/>
  <cp:lastPrinted>2025-02-10T08:34:58Z</cp:lastPrinted>
  <dcterms:modified xsi:type="dcterms:W3CDTF">2025-02-26T13:52:12Z</dcterms:modified>
  <cp:revision>24</cp:revision>
  <dc:subject/>
  <dc:title/>
</cp:coreProperties>
</file>