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theme/theme1.xml" ContentType="application/vnd.openxmlformats-officedocument.theme+xml"/>
  <Override PartName="/word/header1.xml" ContentType="application/vnd.openxmlformats-officedocument.wordprocessingml.header+xml"/>
  <Override PartName="/word/media/image1.png" ContentType="image/png"/>
  <Override PartName="/word/header2.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_rels/document.xml.rels" ContentType="application/vnd.openxmlformats-package.relationships+xml"/>
  <Override PartName="/word/_rels/header2.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tbl>
      <w:tblPr>
        <w:tblStyle w:val="Taulaambquadrcula"/>
        <w:tblW w:w="11023" w:type="dxa"/>
        <w:jc w:val="left"/>
        <w:tblInd w:w="0" w:type="dxa"/>
        <w:tblCellMar>
          <w:top w:w="0" w:type="dxa"/>
          <w:left w:w="108" w:type="dxa"/>
          <w:bottom w:w="0" w:type="dxa"/>
          <w:right w:w="108" w:type="dxa"/>
        </w:tblCellMar>
        <w:tblLook w:val="04a0"/>
      </w:tblPr>
      <w:tblGrid>
        <w:gridCol w:w="4185"/>
        <w:gridCol w:w="3437"/>
        <w:gridCol w:w="565"/>
        <w:gridCol w:w="567"/>
        <w:gridCol w:w="567"/>
        <w:gridCol w:w="565"/>
        <w:gridCol w:w="567"/>
        <w:gridCol w:w="569"/>
      </w:tblGrid>
      <w:tr>
        <w:trPr/>
        <w:tc>
          <w:tcPr>
            <w:tcW w:w="4185" w:type="dxa"/>
            <w:tcBorders>
              <w:top w:val="nil"/>
              <w:left w:val="nil"/>
              <w:bottom w:val="nil"/>
              <w:right w:val="nil"/>
              <w:insideH w:val="nil"/>
              <w:insideV w:val="nil"/>
            </w:tcBorders>
            <w:shd w:fill="auto" w:val="clear"/>
            <w:vAlign w:val="center"/>
          </w:tcPr>
          <w:p>
            <w:pPr>
              <w:pStyle w:val="Normal"/>
              <w:rPr>
                <w:rFonts w:cs="Noto Sans"/>
                <w:b/>
                <w:b/>
                <w:smallCaps/>
                <w:color w:val="C30045"/>
                <w:sz w:val="32"/>
                <w:szCs w:val="32"/>
              </w:rPr>
            </w:pPr>
            <w:r>
              <w:rPr>
                <w:rFonts w:cs="Noto Sans"/>
                <w:b/>
                <w:smallCaps/>
                <w:color w:val="C30045"/>
                <w:sz w:val="32"/>
                <w:szCs w:val="32"/>
              </w:rPr>
              <w:t xml:space="preserve">ANNEX 4. </w:t>
            </w:r>
          </w:p>
          <w:p>
            <w:pPr>
              <w:pStyle w:val="Normal"/>
              <w:rPr/>
            </w:pPr>
            <w:r>
              <w:rPr>
                <w:rFonts w:cs="Noto Sans"/>
                <w:b/>
                <w:smallCaps/>
                <w:color w:val="C30045"/>
                <w:sz w:val="32"/>
                <w:szCs w:val="32"/>
              </w:rPr>
              <w:t xml:space="preserve">DECLARACIÓ </w:t>
            </w:r>
          </w:p>
          <w:p>
            <w:pPr>
              <w:pStyle w:val="Normal"/>
              <w:rPr/>
            </w:pPr>
            <w:r>
              <w:rPr>
                <w:rFonts w:cs="Noto Sans"/>
                <w:b/>
                <w:smallCaps/>
                <w:color w:val="C30045"/>
                <w:sz w:val="32"/>
                <w:szCs w:val="32"/>
              </w:rPr>
              <w:t>I MEMÒRIA D’ACTUACIÓ JUSTIFICATIVA</w:t>
            </w:r>
          </w:p>
          <w:p>
            <w:pPr>
              <w:pStyle w:val="Normal"/>
              <w:rPr>
                <w:rFonts w:cs="Noto Sans"/>
                <w:b/>
                <w:b/>
                <w:smallCaps/>
                <w:color w:val="C30045"/>
              </w:rPr>
            </w:pPr>
            <w:r>
              <w:rPr>
                <w:rFonts w:cs="Noto Sans"/>
                <w:b/>
                <w:smallCaps/>
                <w:color w:val="C30045"/>
              </w:rPr>
              <w:t>Ajuts</w:t>
            </w:r>
            <w:r>
              <w:rPr>
                <w:rFonts w:eastAsia="Symbol" w:cs="Noto Sans"/>
                <w:b/>
                <w:color w:val="C00000"/>
              </w:rPr>
              <w:t xml:space="preserve"> </w:t>
            </w:r>
            <w:r>
              <w:rPr>
                <w:rFonts w:cs="Noto Sans"/>
                <w:b/>
                <w:smallCaps/>
                <w:color w:val="C30045"/>
              </w:rPr>
              <w:t xml:space="preserve">destinats als mitjans </w:t>
            </w:r>
          </w:p>
          <w:p>
            <w:pPr>
              <w:pStyle w:val="Normal"/>
              <w:rPr/>
            </w:pPr>
            <w:r>
              <w:rPr>
                <w:rFonts w:cs="Noto Sans"/>
                <w:b/>
                <w:smallCaps/>
                <w:color w:val="C30045"/>
              </w:rPr>
              <w:t>de comunicació en llengua catalana</w:t>
            </w:r>
          </w:p>
          <w:p>
            <w:pPr>
              <w:pStyle w:val="Normal"/>
              <w:rPr>
                <w:b/>
                <w:b/>
                <w:bCs/>
                <w:smallCaps/>
                <w:sz w:val="32"/>
                <w:szCs w:val="32"/>
              </w:rPr>
            </w:pPr>
            <w:del w:id="1" w:author="Autoria desconeguda" w:date="2025-02-20T13:14:35Z">
              <w:r>
                <w:rPr>
                  <w:rFonts w:cs="Noto Sans"/>
                  <w:b/>
                  <w:smallCaps/>
                  <w:color w:val="C30045"/>
                </w:rPr>
                <w:delText xml:space="preserve"> </w:delText>
              </w:r>
            </w:del>
            <w:r>
              <w:rPr>
                <w:rFonts w:cs="Noto Sans"/>
                <w:b/>
                <w:smallCaps/>
                <w:color w:val="C30045"/>
              </w:rPr>
              <w:t>a les Illes Balears 2025</w:t>
            </w:r>
          </w:p>
        </w:tc>
        <w:tc>
          <w:tcPr>
            <w:tcW w:w="6837" w:type="dxa"/>
            <w:gridSpan w:val="7"/>
            <w:tcBorders>
              <w:top w:val="nil"/>
              <w:left w:val="nil"/>
              <w:bottom w:val="nil"/>
              <w:right w:val="nil"/>
              <w:insideH w:val="nil"/>
              <w:insideV w:val="nil"/>
            </w:tcBorders>
            <w:shd w:fill="auto" w:val="clear"/>
          </w:tcPr>
          <w:p>
            <w:pPr>
              <w:pStyle w:val="Normal"/>
              <w:rPr>
                <w:b/>
                <w:b/>
                <w:bCs/>
                <w:smallCaps/>
              </w:rPr>
            </w:pPr>
            <w:r>
              <w:rPr>
                <w:b/>
                <w:bCs/>
                <w:smallCaps/>
              </w:rPr>
            </w:r>
          </w:p>
          <w:p>
            <w:pPr>
              <w:pStyle w:val="Normal"/>
              <w:rPr>
                <w:b/>
                <w:b/>
                <w:bCs/>
                <w:smallCaps/>
              </w:rPr>
            </w:pPr>
            <w:r>
              <w:rPr>
                <w:b/>
                <w:bCs/>
                <w:smallCaps/>
              </w:rPr>
            </w:r>
          </w:p>
          <w:p>
            <w:pPr>
              <w:pStyle w:val="Normal"/>
              <w:rPr>
                <w:b/>
                <w:b/>
                <w:bCs/>
                <w:smallCaps/>
              </w:rPr>
            </w:pPr>
            <w:r>
              <w:rPr>
                <w:b/>
                <w:bCs/>
                <w:smallCaps/>
              </w:rPr>
            </w:r>
          </w:p>
          <w:p>
            <w:pPr>
              <w:pStyle w:val="Normal"/>
              <w:rPr>
                <w:b/>
                <w:b/>
                <w:bCs/>
                <w:smallCaps/>
              </w:rPr>
            </w:pPr>
            <w:r>
              <w:rPr>
                <w:b/>
                <w:bCs/>
                <w:smallCaps/>
              </w:rPr>
            </w:r>
          </w:p>
          <w:p>
            <w:pPr>
              <w:pStyle w:val="Normal"/>
              <w:rPr>
                <w:b/>
                <w:b/>
                <w:bCs/>
                <w:smallCaps/>
              </w:rPr>
            </w:pPr>
            <w:r>
              <w:rPr>
                <w:b/>
                <w:bCs/>
                <w:smallCaps/>
              </w:rPr>
            </w:r>
          </w:p>
          <w:p>
            <w:pPr>
              <w:pStyle w:val="Normal"/>
              <w:rPr>
                <w:b/>
                <w:b/>
                <w:bCs/>
                <w:smallCaps/>
              </w:rPr>
            </w:pPr>
            <w:r>
              <w:rPr>
                <w:b/>
                <w:bCs/>
                <w:smallCaps/>
              </w:rPr>
            </w:r>
          </w:p>
        </w:tc>
      </w:tr>
      <w:tr>
        <w:trPr/>
        <w:tc>
          <w:tcPr>
            <w:tcW w:w="7622" w:type="dxa"/>
            <w:gridSpan w:val="2"/>
            <w:tcBorders>
              <w:top w:val="nil"/>
              <w:left w:val="nil"/>
              <w:bottom w:val="nil"/>
              <w:insideH w:val="nil"/>
            </w:tcBorders>
            <w:shd w:fill="auto" w:val="clear"/>
          </w:tcPr>
          <w:p>
            <w:pPr>
              <w:pStyle w:val="Normal"/>
              <w:spacing w:before="60" w:after="60"/>
              <w:ind w:left="1213" w:hanging="1213"/>
              <w:jc w:val="right"/>
              <w:rPr>
                <w:rFonts w:cs="Noto Sans"/>
                <w:b/>
                <w:b/>
                <w:smallCaps/>
                <w:color w:val="C30045"/>
                <w:sz w:val="20"/>
                <w:szCs w:val="20"/>
              </w:rPr>
            </w:pPr>
            <w:r>
              <w:rPr>
                <w:rFonts w:cs="Noto Sans"/>
                <w:b/>
                <w:smallCaps/>
                <w:color w:val="C30045"/>
                <w:sz w:val="20"/>
                <w:szCs w:val="20"/>
              </w:rPr>
              <w:t>Codi SIA</w:t>
            </w:r>
          </w:p>
        </w:tc>
        <w:tc>
          <w:tcPr>
            <w:tcW w:w="565" w:type="dxa"/>
            <w:tcBorders/>
            <w:shd w:color="auto" w:fill="A6A6A6" w:themeFill="background1" w:themeFillShade="a6" w:val="clear"/>
          </w:tcPr>
          <w:p>
            <w:pPr>
              <w:pStyle w:val="Normal"/>
              <w:spacing w:before="60" w:after="60"/>
              <w:rPr>
                <w:rFonts w:cs="Noto Sans"/>
                <w:b/>
                <w:b/>
                <w:smallCaps/>
                <w:color w:val="C30045"/>
                <w:sz w:val="20"/>
                <w:szCs w:val="20"/>
              </w:rPr>
            </w:pPr>
            <w:r>
              <w:rPr>
                <w:rFonts w:cs="Noto Sans"/>
                <w:b/>
                <w:smallCaps/>
                <w:color w:val="C30045"/>
                <w:sz w:val="20"/>
                <w:szCs w:val="20"/>
              </w:rPr>
            </w:r>
          </w:p>
        </w:tc>
        <w:tc>
          <w:tcPr>
            <w:tcW w:w="567" w:type="dxa"/>
            <w:tcBorders/>
            <w:shd w:color="auto" w:fill="A6A6A6" w:themeFill="background1" w:themeFillShade="a6" w:val="clear"/>
          </w:tcPr>
          <w:p>
            <w:pPr>
              <w:pStyle w:val="Normal"/>
              <w:spacing w:before="60" w:after="60"/>
              <w:rPr>
                <w:rFonts w:cs="Noto Sans"/>
                <w:b/>
                <w:b/>
                <w:smallCaps/>
                <w:color w:val="C30045"/>
                <w:sz w:val="20"/>
                <w:szCs w:val="20"/>
              </w:rPr>
            </w:pPr>
            <w:r>
              <w:rPr>
                <w:rFonts w:cs="Noto Sans"/>
                <w:b/>
                <w:smallCaps/>
                <w:color w:val="C30045"/>
                <w:sz w:val="20"/>
                <w:szCs w:val="20"/>
              </w:rPr>
            </w:r>
          </w:p>
        </w:tc>
        <w:tc>
          <w:tcPr>
            <w:tcW w:w="567" w:type="dxa"/>
            <w:tcBorders/>
            <w:shd w:color="auto" w:fill="A6A6A6" w:themeFill="background1" w:themeFillShade="a6" w:val="clear"/>
          </w:tcPr>
          <w:p>
            <w:pPr>
              <w:pStyle w:val="Normal"/>
              <w:spacing w:before="60" w:after="60"/>
              <w:rPr>
                <w:rFonts w:cs="Noto Sans"/>
                <w:b/>
                <w:b/>
                <w:smallCaps/>
                <w:color w:val="C30045"/>
                <w:sz w:val="20"/>
                <w:szCs w:val="20"/>
              </w:rPr>
            </w:pPr>
            <w:r>
              <w:rPr>
                <w:rFonts w:cs="Noto Sans"/>
                <w:b/>
                <w:smallCaps/>
                <w:color w:val="C30045"/>
                <w:sz w:val="20"/>
                <w:szCs w:val="20"/>
              </w:rPr>
            </w:r>
          </w:p>
        </w:tc>
        <w:tc>
          <w:tcPr>
            <w:tcW w:w="565" w:type="dxa"/>
            <w:tcBorders/>
            <w:shd w:color="auto" w:fill="A6A6A6" w:themeFill="background1" w:themeFillShade="a6" w:val="clear"/>
          </w:tcPr>
          <w:p>
            <w:pPr>
              <w:pStyle w:val="Normal"/>
              <w:spacing w:before="60" w:after="60"/>
              <w:rPr>
                <w:rFonts w:cs="Noto Sans"/>
                <w:b/>
                <w:b/>
                <w:smallCaps/>
                <w:color w:val="C30045"/>
                <w:sz w:val="20"/>
                <w:szCs w:val="20"/>
              </w:rPr>
            </w:pPr>
            <w:r>
              <w:rPr>
                <w:rFonts w:cs="Noto Sans"/>
                <w:b/>
                <w:smallCaps/>
                <w:color w:val="C30045"/>
                <w:sz w:val="20"/>
                <w:szCs w:val="20"/>
              </w:rPr>
            </w:r>
          </w:p>
        </w:tc>
        <w:tc>
          <w:tcPr>
            <w:tcW w:w="567" w:type="dxa"/>
            <w:tcBorders/>
            <w:shd w:color="auto" w:fill="A6A6A6" w:themeFill="background1" w:themeFillShade="a6" w:val="clear"/>
          </w:tcPr>
          <w:p>
            <w:pPr>
              <w:pStyle w:val="Normal"/>
              <w:spacing w:before="60" w:after="60"/>
              <w:rPr>
                <w:rFonts w:cs="Noto Sans"/>
                <w:b/>
                <w:b/>
                <w:smallCaps/>
                <w:color w:val="C30045"/>
                <w:sz w:val="20"/>
                <w:szCs w:val="20"/>
              </w:rPr>
            </w:pPr>
            <w:r>
              <w:rPr>
                <w:rFonts w:cs="Noto Sans"/>
                <w:b/>
                <w:smallCaps/>
                <w:color w:val="C30045"/>
                <w:sz w:val="20"/>
                <w:szCs w:val="20"/>
              </w:rPr>
            </w:r>
          </w:p>
        </w:tc>
        <w:tc>
          <w:tcPr>
            <w:tcW w:w="569" w:type="dxa"/>
            <w:tcBorders/>
            <w:shd w:color="auto" w:fill="A6A6A6" w:themeFill="background1" w:themeFillShade="a6" w:val="clear"/>
          </w:tcPr>
          <w:p>
            <w:pPr>
              <w:pStyle w:val="Normal"/>
              <w:spacing w:before="60" w:after="60"/>
              <w:rPr>
                <w:rFonts w:cs="Noto Sans"/>
                <w:b/>
                <w:b/>
                <w:smallCaps/>
                <w:color w:val="C30045"/>
                <w:sz w:val="20"/>
                <w:szCs w:val="20"/>
              </w:rPr>
            </w:pPr>
            <w:r>
              <w:rPr>
                <w:rFonts w:cs="Noto Sans"/>
                <w:b/>
                <w:smallCaps/>
                <w:color w:val="C30045"/>
                <w:sz w:val="20"/>
                <w:szCs w:val="20"/>
              </w:rPr>
            </w:r>
          </w:p>
        </w:tc>
      </w:tr>
    </w:tbl>
    <w:p>
      <w:pPr>
        <w:pStyle w:val="Normal"/>
        <w:rPr>
          <w:rFonts w:cs="Noto Sans"/>
          <w:b/>
          <w:b/>
          <w:smallCaps/>
          <w:color w:val="C30045"/>
          <w:sz w:val="20"/>
          <w:szCs w:val="20"/>
        </w:rPr>
      </w:pPr>
      <w:r>
        <w:rPr>
          <w:rFonts w:cs="Noto Sans"/>
          <w:b/>
          <w:smallCaps/>
          <w:color w:val="C30045"/>
          <w:sz w:val="20"/>
          <w:szCs w:val="20"/>
        </w:rPr>
        <w:t>Declaració</w:t>
      </w:r>
    </w:p>
    <w:tbl>
      <w:tblPr>
        <w:tblStyle w:val="Taulaambquadrcula"/>
        <w:tblW w:w="11023" w:type="dxa"/>
        <w:jc w:val="left"/>
        <w:tblInd w:w="0" w:type="dxa"/>
        <w:tblCellMar>
          <w:top w:w="0" w:type="dxa"/>
          <w:left w:w="108" w:type="dxa"/>
          <w:bottom w:w="0" w:type="dxa"/>
          <w:right w:w="108" w:type="dxa"/>
        </w:tblCellMar>
        <w:tblLook w:val="04a0"/>
      </w:tblPr>
      <w:tblGrid>
        <w:gridCol w:w="2517"/>
        <w:gridCol w:w="8505"/>
      </w:tblGrid>
      <w:tr>
        <w:trPr/>
        <w:tc>
          <w:tcPr>
            <w:tcW w:w="2517" w:type="dxa"/>
            <w:tcBorders>
              <w:top w:val="single" w:sz="18" w:space="0" w:color="000000"/>
              <w:left w:val="single" w:sz="18" w:space="0" w:color="000000"/>
            </w:tcBorders>
            <w:shd w:fill="auto" w:val="clear"/>
          </w:tcPr>
          <w:p>
            <w:pPr>
              <w:pStyle w:val="Normal"/>
              <w:spacing w:before="60" w:after="60"/>
              <w:rPr>
                <w:rFonts w:cs="Noto Sans"/>
                <w:b/>
                <w:b/>
                <w:smallCaps/>
                <w:color w:val="C30045"/>
                <w:sz w:val="20"/>
                <w:szCs w:val="20"/>
              </w:rPr>
            </w:pPr>
            <w:r>
              <w:rPr>
                <w:rFonts w:cs="Noto Sans"/>
                <w:b/>
                <w:smallCaps/>
                <w:color w:val="C30045"/>
                <w:sz w:val="20"/>
                <w:szCs w:val="20"/>
              </w:rPr>
              <w:t>Destinació</w:t>
            </w:r>
          </w:p>
        </w:tc>
        <w:tc>
          <w:tcPr>
            <w:tcW w:w="8505" w:type="dxa"/>
            <w:tcBorders>
              <w:top w:val="single" w:sz="18" w:space="0" w:color="000000"/>
              <w:left w:val="single" w:sz="18" w:space="0" w:color="000000"/>
              <w:right w:val="single" w:sz="18" w:space="0" w:color="000000"/>
              <w:insideV w:val="single" w:sz="18" w:space="0" w:color="000000"/>
            </w:tcBorders>
            <w:shd w:color="auto" w:fill="FFFFFF" w:themeFill="background1" w:val="clear"/>
            <w:vAlign w:val="center"/>
          </w:tcPr>
          <w:p>
            <w:pPr>
              <w:pStyle w:val="Normal"/>
              <w:rPr>
                <w:rFonts w:cs="Noto Sans"/>
                <w:sz w:val="18"/>
                <w:szCs w:val="18"/>
              </w:rPr>
            </w:pPr>
            <w:r>
              <w:rPr>
                <w:rFonts w:eastAsia="Symbol" w:cs="Noto Sans"/>
                <w:sz w:val="18"/>
                <w:szCs w:val="18"/>
              </w:rPr>
              <w:t>INSTITUT D’ESTUDIS BALEÀRICS</w:t>
            </w:r>
          </w:p>
        </w:tc>
      </w:tr>
      <w:tr>
        <w:trPr/>
        <w:tc>
          <w:tcPr>
            <w:tcW w:w="2517" w:type="dxa"/>
            <w:tcBorders>
              <w:left w:val="single" w:sz="18" w:space="0" w:color="000000"/>
            </w:tcBorders>
            <w:shd w:fill="auto" w:val="clear"/>
          </w:tcPr>
          <w:p>
            <w:pPr>
              <w:pStyle w:val="Normal"/>
              <w:spacing w:before="60" w:after="60"/>
              <w:rPr>
                <w:rFonts w:cs="Noto Sans"/>
                <w:b/>
                <w:b/>
                <w:smallCaps/>
                <w:color w:val="C30045"/>
                <w:sz w:val="20"/>
                <w:szCs w:val="20"/>
              </w:rPr>
            </w:pPr>
            <w:r>
              <w:rPr>
                <w:rFonts w:cs="Noto Sans"/>
                <w:b/>
                <w:smallCaps/>
                <w:color w:val="C30045"/>
                <w:sz w:val="20"/>
                <w:szCs w:val="20"/>
              </w:rPr>
              <w:t>Codi D</w:t>
            </w:r>
            <w:r>
              <w:rPr>
                <w:rFonts w:cs="Noto Sans"/>
                <w:b/>
                <w:bCs/>
                <w:color w:val="C30045"/>
                <w:sz w:val="20"/>
                <w:szCs w:val="20"/>
              </w:rPr>
              <w:t>IR</w:t>
            </w:r>
            <w:r>
              <w:rPr>
                <w:rFonts w:cs="Noto Sans"/>
                <w:b/>
                <w:smallCaps/>
                <w:color w:val="C30045"/>
                <w:sz w:val="20"/>
                <w:szCs w:val="20"/>
              </w:rPr>
              <w:t>3</w:t>
            </w:r>
          </w:p>
        </w:tc>
        <w:tc>
          <w:tcPr>
            <w:tcW w:w="8505" w:type="dxa"/>
            <w:tcBorders>
              <w:left w:val="single" w:sz="18" w:space="0" w:color="000000"/>
              <w:right w:val="single" w:sz="18" w:space="0" w:color="000000"/>
              <w:insideV w:val="single" w:sz="18" w:space="0" w:color="000000"/>
            </w:tcBorders>
            <w:shd w:color="auto" w:fill="FFFFFF" w:themeFill="background1" w:val="clear"/>
            <w:vAlign w:val="center"/>
          </w:tcPr>
          <w:p>
            <w:pPr>
              <w:pStyle w:val="Normal"/>
              <w:rPr/>
            </w:pPr>
            <w:r>
              <w:rPr>
                <w:rFonts w:eastAsia="Symbol" w:cs="Noto Sans"/>
                <w:sz w:val="18"/>
                <w:szCs w:val="18"/>
              </w:rPr>
              <w:t>A04043879</w:t>
            </w:r>
          </w:p>
        </w:tc>
      </w:tr>
      <w:tr>
        <w:trPr/>
        <w:tc>
          <w:tcPr>
            <w:tcW w:w="2517" w:type="dxa"/>
            <w:tcBorders>
              <w:left w:val="single" w:sz="18" w:space="0" w:color="000000"/>
            </w:tcBorders>
            <w:shd w:fill="auto" w:val="clear"/>
          </w:tcPr>
          <w:p>
            <w:pPr>
              <w:pStyle w:val="Normal"/>
              <w:spacing w:before="60" w:after="60"/>
              <w:rPr>
                <w:rFonts w:cs="Noto Sans"/>
                <w:b/>
                <w:b/>
                <w:smallCaps/>
                <w:sz w:val="20"/>
                <w:szCs w:val="20"/>
                <w:vertAlign w:val="superscript"/>
              </w:rPr>
            </w:pPr>
            <w:r>
              <w:rPr>
                <w:rFonts w:cs="Noto Sans"/>
                <w:b/>
                <w:smallCaps/>
                <w:color w:val="C30045"/>
                <w:sz w:val="20"/>
                <w:szCs w:val="20"/>
              </w:rPr>
              <w:t>Número d’expedient</w:t>
            </w:r>
          </w:p>
        </w:tc>
        <w:tc>
          <w:tcPr>
            <w:tcW w:w="8505" w:type="dxa"/>
            <w:tcBorders>
              <w:left w:val="single" w:sz="18" w:space="0" w:color="000000"/>
              <w:right w:val="single" w:sz="18" w:space="0" w:color="000000"/>
              <w:insideV w:val="single" w:sz="18" w:space="0" w:color="000000"/>
            </w:tcBorders>
            <w:shd w:color="auto" w:fill="A6A6A6" w:themeFill="background1" w:themeFillShade="a6" w:val="clear"/>
          </w:tcPr>
          <w:p>
            <w:pPr>
              <w:pStyle w:val="Normal"/>
              <w:spacing w:before="60" w:after="60"/>
              <w:rPr>
                <w:rFonts w:cs="Noto Sans"/>
                <w:b/>
                <w:b/>
                <w:smallCaps/>
                <w:color w:val="C30045"/>
                <w:sz w:val="20"/>
                <w:szCs w:val="20"/>
                <w:highlight w:val="lightGray"/>
              </w:rPr>
            </w:pPr>
            <w:r>
              <w:rPr>
                <w:rFonts w:cs="Noto Sans"/>
                <w:b/>
                <w:smallCaps/>
                <w:color w:val="C30045"/>
                <w:sz w:val="20"/>
                <w:szCs w:val="20"/>
                <w:highlight w:val="lightGray"/>
              </w:rPr>
            </w:r>
          </w:p>
        </w:tc>
      </w:tr>
      <w:tr>
        <w:trPr/>
        <w:tc>
          <w:tcPr>
            <w:tcW w:w="2517" w:type="dxa"/>
            <w:tcBorders>
              <w:left w:val="single" w:sz="18" w:space="0" w:color="000000"/>
            </w:tcBorders>
            <w:shd w:fill="auto" w:val="clear"/>
          </w:tcPr>
          <w:p>
            <w:pPr>
              <w:pStyle w:val="Normal"/>
              <w:spacing w:before="60" w:after="60"/>
              <w:rPr>
                <w:rFonts w:cs="Noto Sans"/>
                <w:b/>
                <w:b/>
                <w:smallCaps/>
                <w:color w:val="C30045"/>
                <w:sz w:val="20"/>
                <w:szCs w:val="20"/>
                <w:vertAlign w:val="superscript"/>
              </w:rPr>
            </w:pPr>
            <w:r>
              <w:rPr>
                <w:rFonts w:cs="Noto Sans"/>
                <w:b/>
                <w:smallCaps/>
                <w:color w:val="C30045"/>
                <w:sz w:val="20"/>
                <w:szCs w:val="20"/>
              </w:rPr>
              <w:t>Exercici pressupostari</w:t>
            </w:r>
          </w:p>
        </w:tc>
        <w:tc>
          <w:tcPr>
            <w:tcW w:w="8505" w:type="dxa"/>
            <w:tcBorders>
              <w:left w:val="single" w:sz="18" w:space="0" w:color="000000"/>
              <w:right w:val="single" w:sz="18" w:space="0" w:color="000000"/>
              <w:insideV w:val="single" w:sz="18" w:space="0" w:color="000000"/>
            </w:tcBorders>
            <w:shd w:color="auto" w:fill="A6A6A6" w:themeFill="background1" w:themeFillShade="a6" w:val="clear"/>
          </w:tcPr>
          <w:p>
            <w:pPr>
              <w:pStyle w:val="Normal"/>
              <w:spacing w:before="60" w:after="60"/>
              <w:rPr>
                <w:rFonts w:cs="Noto Sans"/>
                <w:b/>
                <w:b/>
                <w:smallCaps/>
                <w:color w:val="C30045"/>
                <w:sz w:val="20"/>
                <w:szCs w:val="20"/>
                <w:highlight w:val="lightGray"/>
              </w:rPr>
            </w:pPr>
            <w:r>
              <w:rPr>
                <w:rFonts w:cs="Noto Sans"/>
                <w:b/>
                <w:smallCaps/>
                <w:color w:val="C30045"/>
                <w:sz w:val="20"/>
                <w:szCs w:val="20"/>
                <w:highlight w:val="lightGray"/>
              </w:rPr>
            </w:r>
          </w:p>
        </w:tc>
      </w:tr>
      <w:tr>
        <w:trPr/>
        <w:tc>
          <w:tcPr>
            <w:tcW w:w="2517" w:type="dxa"/>
            <w:tcBorders>
              <w:top w:val="single" w:sz="18" w:space="0" w:color="000000"/>
              <w:left w:val="single" w:sz="18" w:space="0" w:color="000000"/>
              <w:bottom w:val="single" w:sz="18" w:space="0" w:color="000000"/>
              <w:insideH w:val="single" w:sz="18" w:space="0" w:color="000000"/>
            </w:tcBorders>
            <w:shd w:fill="auto" w:val="clear"/>
          </w:tcPr>
          <w:p>
            <w:pPr>
              <w:pStyle w:val="Normal"/>
              <w:spacing w:before="60" w:after="60"/>
              <w:rPr>
                <w:rFonts w:cs="Noto Sans"/>
                <w:b/>
                <w:b/>
                <w:smallCaps/>
                <w:color w:val="C30045"/>
                <w:sz w:val="20"/>
                <w:szCs w:val="20"/>
                <w:vertAlign w:val="superscript"/>
              </w:rPr>
            </w:pPr>
            <w:r>
              <w:rPr>
                <w:rFonts w:cs="Noto Sans"/>
                <w:b/>
                <w:smallCaps/>
                <w:color w:val="C30045"/>
                <w:sz w:val="20"/>
                <w:szCs w:val="20"/>
              </w:rPr>
              <w:t>Partida pressupostària</w:t>
            </w:r>
          </w:p>
        </w:tc>
        <w:tc>
          <w:tcPr>
            <w:tcW w:w="8505" w:type="dxa"/>
            <w:tc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cBorders>
            <w:shd w:color="auto" w:fill="A6A6A6" w:themeFill="background1" w:themeFillShade="a6" w:val="clear"/>
          </w:tcPr>
          <w:p>
            <w:pPr>
              <w:pStyle w:val="Normal"/>
              <w:spacing w:before="60" w:after="60"/>
              <w:rPr>
                <w:rFonts w:cs="Noto Sans"/>
                <w:b/>
                <w:b/>
                <w:smallCaps/>
                <w:color w:val="C30045"/>
                <w:sz w:val="20"/>
                <w:szCs w:val="20"/>
                <w:highlight w:val="lightGray"/>
              </w:rPr>
            </w:pPr>
            <w:r>
              <w:rPr>
                <w:rFonts w:cs="Noto Sans"/>
                <w:b/>
                <w:smallCaps/>
                <w:color w:val="C30045"/>
                <w:sz w:val="20"/>
                <w:szCs w:val="20"/>
                <w:highlight w:val="lightGray"/>
              </w:rPr>
            </w:r>
          </w:p>
        </w:tc>
      </w:tr>
      <w:tr>
        <w:trPr/>
        <w:tc>
          <w:tcPr>
            <w:tcW w:w="11022" w:type="dxa"/>
            <w:gridSpan w:val="2"/>
            <w:tcBorders>
              <w:top w:val="single" w:sz="18" w:space="0" w:color="000000"/>
              <w:left w:val="nil"/>
              <w:bottom w:val="nil"/>
              <w:right w:val="nil"/>
              <w:insideH w:val="nil"/>
              <w:insideV w:val="nil"/>
            </w:tcBorders>
            <w:shd w:fill="auto" w:val="clear"/>
          </w:tcPr>
          <w:p>
            <w:pPr>
              <w:pStyle w:val="Normal"/>
              <w:spacing w:before="60" w:after="60"/>
              <w:rPr>
                <w:rFonts w:cs="Noto Sans"/>
                <w:b/>
                <w:b/>
                <w:i/>
                <w:i/>
                <w:iCs/>
                <w:smallCaps/>
                <w:color w:val="C30045"/>
                <w:sz w:val="20"/>
                <w:szCs w:val="20"/>
                <w:highlight w:val="lightGray"/>
              </w:rPr>
            </w:pPr>
            <w:r>
              <w:rPr>
                <w:rFonts w:eastAsia="Times New Roman" w:cs="Noto Sans"/>
                <w:i/>
                <w:iCs/>
                <w:sz w:val="20"/>
                <w:szCs w:val="20"/>
                <w:lang w:eastAsia="es-ES"/>
              </w:rPr>
              <w:t xml:space="preserve">Els espais ombrejats els ha de </w:t>
            </w:r>
            <w:r>
              <w:rPr>
                <w:i/>
                <w:iCs/>
                <w:sz w:val="20"/>
                <w:szCs w:val="20"/>
              </w:rPr>
              <w:t>consignar l’Administració.</w:t>
            </w:r>
          </w:p>
        </w:tc>
      </w:tr>
      <w:tr>
        <w:trPr/>
        <w:tc>
          <w:tcPr>
            <w:tcW w:w="11022" w:type="dxa"/>
            <w:gridSpan w:val="2"/>
            <w:tcBorders>
              <w:top w:val="single" w:sz="18" w:space="0" w:color="000000"/>
              <w:left w:val="nil"/>
              <w:bottom w:val="nil"/>
              <w:right w:val="nil"/>
              <w:insideH w:val="nil"/>
              <w:insideV w:val="nil"/>
            </w:tcBorders>
            <w:shd w:fill="auto" w:val="clear"/>
          </w:tcPr>
          <w:p>
            <w:pPr>
              <w:pStyle w:val="Normal"/>
              <w:spacing w:before="60" w:after="60"/>
              <w:rPr>
                <w:rFonts w:cs="Noto Sans"/>
                <w:b/>
                <w:b/>
                <w:smallCaps/>
                <w:color w:val="C30045"/>
                <w:sz w:val="12"/>
                <w:szCs w:val="12"/>
              </w:rPr>
            </w:pPr>
            <w:r>
              <w:rPr>
                <w:rFonts w:cs="Noto Sans"/>
                <w:b/>
                <w:smallCaps/>
                <w:color w:val="C30045"/>
                <w:sz w:val="12"/>
                <w:szCs w:val="12"/>
              </w:rPr>
            </w:r>
          </w:p>
          <w:p>
            <w:pPr>
              <w:pStyle w:val="Normal"/>
              <w:spacing w:before="60" w:after="60"/>
              <w:rPr>
                <w:rFonts w:eastAsia="Times New Roman" w:cs="Noto Sans"/>
                <w:i/>
                <w:i/>
                <w:iCs/>
                <w:sz w:val="20"/>
                <w:szCs w:val="20"/>
                <w:lang w:eastAsia="es-ES"/>
              </w:rPr>
            </w:pPr>
            <w:r>
              <w:rPr>
                <w:rFonts w:cs="Noto Sans"/>
                <w:b/>
                <w:smallCaps/>
                <w:color w:val="C30045"/>
                <w:sz w:val="20"/>
                <w:szCs w:val="20"/>
              </w:rPr>
              <w:t>Beneficiari</w:t>
            </w:r>
          </w:p>
        </w:tc>
      </w:tr>
    </w:tbl>
    <w:tbl>
      <w:tblPr>
        <w:tblStyle w:val="Taulaambquadrcula"/>
        <w:tblpPr w:bottomFromText="0" w:horzAnchor="text" w:leftFromText="141" w:rightFromText="141" w:tblpX="0" w:tblpY="1" w:topFromText="0" w:vertAnchor="text"/>
        <w:tblW w:w="5000" w:type="pct"/>
        <w:jc w:val="left"/>
        <w:tblInd w:w="0" w:type="dxa"/>
        <w:tblCellMar>
          <w:top w:w="0" w:type="dxa"/>
          <w:left w:w="108" w:type="dxa"/>
          <w:bottom w:w="0" w:type="dxa"/>
          <w:right w:w="108" w:type="dxa"/>
        </w:tblCellMar>
        <w:tblLook w:val="04a0"/>
      </w:tblPr>
      <w:tblGrid>
        <w:gridCol w:w="1686"/>
        <w:gridCol w:w="1138"/>
        <w:gridCol w:w="1135"/>
        <w:gridCol w:w="347"/>
        <w:gridCol w:w="790"/>
        <w:gridCol w:w="1135"/>
        <w:gridCol w:w="1135"/>
        <w:gridCol w:w="606"/>
        <w:gridCol w:w="532"/>
        <w:gridCol w:w="1135"/>
        <w:gridCol w:w="1132"/>
      </w:tblGrid>
      <w:tr>
        <w:trPr/>
        <w:tc>
          <w:tcPr>
            <w:tcW w:w="10771" w:type="dxa"/>
            <w:gridSpan w:val="11"/>
            <w:tcBorders>
              <w:top w:val="single" w:sz="18" w:space="0" w:color="000000"/>
              <w:left w:val="single" w:sz="18" w:space="0" w:color="000000"/>
              <w:right w:val="single" w:sz="18" w:space="0" w:color="000000"/>
              <w:insideV w:val="single" w:sz="18" w:space="0" w:color="000000"/>
            </w:tcBorders>
            <w:shd w:fill="auto" w:val="clear"/>
          </w:tcPr>
          <w:p>
            <w:pPr>
              <w:pStyle w:val="Normal"/>
              <w:rPr>
                <w:rFonts w:cs="Noto Sans"/>
                <w:b/>
                <w:b/>
                <w:bCs/>
                <w:color w:val="C30045"/>
                <w:sz w:val="20"/>
                <w:szCs w:val="20"/>
              </w:rPr>
            </w:pPr>
            <w:r>
              <w:rPr>
                <w:rFonts w:cs="Noto Sans"/>
                <w:b/>
                <w:bCs/>
                <w:color w:val="C30045"/>
                <w:sz w:val="20"/>
                <w:szCs w:val="20"/>
              </w:rPr>
              <w:t>Persona física</w:t>
            </w:r>
          </w:p>
        </w:tc>
      </w:tr>
      <w:tr>
        <w:trPr/>
        <w:tc>
          <w:tcPr>
            <w:tcW w:w="1686" w:type="dxa"/>
            <w:tcBorders>
              <w:left w:val="single" w:sz="18" w:space="0" w:color="000000"/>
            </w:tcBorders>
            <w:shd w:fill="auto" w:val="clear"/>
          </w:tcPr>
          <w:p>
            <w:pPr>
              <w:pStyle w:val="Normal"/>
              <w:spacing w:before="60" w:after="60"/>
              <w:rPr>
                <w:sz w:val="20"/>
                <w:szCs w:val="20"/>
              </w:rPr>
            </w:pPr>
            <w:r>
              <w:rPr>
                <w:sz w:val="20"/>
                <w:szCs w:val="20"/>
              </w:rPr>
              <w:t>DNI/NIE</w:t>
            </w:r>
          </w:p>
        </w:tc>
        <w:tc>
          <w:tcPr>
            <w:tcW w:w="2620" w:type="dxa"/>
            <w:gridSpan w:val="3"/>
            <w:tcBorders/>
            <w:shd w:fill="auto" w:val="clear"/>
          </w:tcPr>
          <w:p>
            <w:pPr>
              <w:pStyle w:val="Normal"/>
              <w:spacing w:before="60" w:after="60"/>
              <w:rPr>
                <w:sz w:val="20"/>
                <w:szCs w:val="20"/>
              </w:rPr>
            </w:pPr>
            <w:r>
              <w:rPr>
                <w:sz w:val="20"/>
                <w:szCs w:val="20"/>
              </w:rPr>
            </w:r>
          </w:p>
        </w:tc>
        <w:tc>
          <w:tcPr>
            <w:tcW w:w="3666" w:type="dxa"/>
            <w:gridSpan w:val="4"/>
            <w:tcBorders/>
            <w:shd w:fill="auto" w:val="clear"/>
          </w:tcPr>
          <w:p>
            <w:pPr>
              <w:pStyle w:val="Normal"/>
              <w:spacing w:before="60" w:after="60"/>
              <w:rPr>
                <w:sz w:val="20"/>
                <w:szCs w:val="20"/>
              </w:rPr>
            </w:pPr>
            <w:r>
              <w:rPr>
                <w:sz w:val="20"/>
                <w:szCs w:val="20"/>
              </w:rPr>
              <w:t>Nom</w:t>
            </w:r>
          </w:p>
        </w:tc>
        <w:tc>
          <w:tcPr>
            <w:tcW w:w="2799" w:type="dxa"/>
            <w:gridSpan w:val="3"/>
            <w:tcBorders>
              <w:left w:val="single" w:sz="18" w:space="0" w:color="000000"/>
              <w:right w:val="single" w:sz="18" w:space="0" w:color="000000"/>
              <w:insideV w:val="single" w:sz="18" w:space="0" w:color="000000"/>
            </w:tcBorders>
            <w:shd w:fill="auto" w:val="clear"/>
          </w:tcPr>
          <w:p>
            <w:pPr>
              <w:pStyle w:val="Normal"/>
              <w:spacing w:before="60" w:after="60"/>
              <w:rPr>
                <w:sz w:val="20"/>
                <w:szCs w:val="20"/>
              </w:rPr>
            </w:pPr>
            <w:r>
              <w:rPr>
                <w:sz w:val="20"/>
                <w:szCs w:val="20"/>
              </w:rPr>
            </w:r>
          </w:p>
        </w:tc>
      </w:tr>
      <w:tr>
        <w:trPr/>
        <w:tc>
          <w:tcPr>
            <w:tcW w:w="1686" w:type="dxa"/>
            <w:tcBorders>
              <w:left w:val="single" w:sz="18" w:space="0" w:color="000000"/>
            </w:tcBorders>
            <w:shd w:fill="auto" w:val="clear"/>
          </w:tcPr>
          <w:p>
            <w:pPr>
              <w:pStyle w:val="Normal"/>
              <w:spacing w:before="60" w:after="60"/>
              <w:rPr>
                <w:sz w:val="20"/>
                <w:szCs w:val="20"/>
              </w:rPr>
            </w:pPr>
            <w:r>
              <w:rPr>
                <w:sz w:val="20"/>
                <w:szCs w:val="20"/>
              </w:rPr>
              <w:t>Llinatge 1</w:t>
            </w:r>
          </w:p>
        </w:tc>
        <w:tc>
          <w:tcPr>
            <w:tcW w:w="2620" w:type="dxa"/>
            <w:gridSpan w:val="3"/>
            <w:tcBorders/>
            <w:shd w:fill="auto" w:val="clear"/>
          </w:tcPr>
          <w:p>
            <w:pPr>
              <w:pStyle w:val="Normal"/>
              <w:spacing w:before="60" w:after="60"/>
              <w:rPr>
                <w:sz w:val="20"/>
                <w:szCs w:val="20"/>
              </w:rPr>
            </w:pPr>
            <w:r>
              <w:rPr>
                <w:sz w:val="20"/>
                <w:szCs w:val="20"/>
              </w:rPr>
            </w:r>
          </w:p>
        </w:tc>
        <w:tc>
          <w:tcPr>
            <w:tcW w:w="3666" w:type="dxa"/>
            <w:gridSpan w:val="4"/>
            <w:tcBorders/>
            <w:shd w:fill="auto" w:val="clear"/>
          </w:tcPr>
          <w:p>
            <w:pPr>
              <w:pStyle w:val="Normal"/>
              <w:spacing w:before="60" w:after="60"/>
              <w:rPr>
                <w:sz w:val="20"/>
                <w:szCs w:val="20"/>
              </w:rPr>
            </w:pPr>
            <w:r>
              <w:rPr>
                <w:sz w:val="20"/>
                <w:szCs w:val="20"/>
              </w:rPr>
              <w:t>Llinatge 2</w:t>
            </w:r>
          </w:p>
        </w:tc>
        <w:tc>
          <w:tcPr>
            <w:tcW w:w="2799" w:type="dxa"/>
            <w:gridSpan w:val="3"/>
            <w:tcBorders>
              <w:left w:val="single" w:sz="18" w:space="0" w:color="000000"/>
              <w:right w:val="single" w:sz="18" w:space="0" w:color="000000"/>
              <w:insideV w:val="single" w:sz="18" w:space="0" w:color="000000"/>
            </w:tcBorders>
            <w:shd w:fill="auto" w:val="clear"/>
          </w:tcPr>
          <w:p>
            <w:pPr>
              <w:pStyle w:val="Normal"/>
              <w:spacing w:before="60" w:after="60"/>
              <w:rPr>
                <w:sz w:val="20"/>
                <w:szCs w:val="20"/>
              </w:rPr>
            </w:pPr>
            <w:r>
              <w:rPr>
                <w:sz w:val="20"/>
                <w:szCs w:val="20"/>
              </w:rPr>
            </w:r>
          </w:p>
        </w:tc>
      </w:tr>
      <w:tr>
        <w:trPr/>
        <w:tc>
          <w:tcPr>
            <w:tcW w:w="10771" w:type="dxa"/>
            <w:gridSpan w:val="11"/>
            <w:tcBorders>
              <w:left w:val="single" w:sz="18" w:space="0" w:color="000000"/>
              <w:right w:val="single" w:sz="18" w:space="0" w:color="000000"/>
              <w:insideV w:val="single" w:sz="18" w:space="0" w:color="000000"/>
            </w:tcBorders>
            <w:shd w:fill="auto" w:val="clear"/>
          </w:tcPr>
          <w:p>
            <w:pPr>
              <w:pStyle w:val="Normal"/>
              <w:rPr>
                <w:color w:val="C30045"/>
                <w:sz w:val="20"/>
                <w:szCs w:val="20"/>
              </w:rPr>
            </w:pPr>
            <w:r>
              <w:rPr>
                <w:rFonts w:cs="Noto Sans"/>
                <w:b/>
                <w:bCs/>
                <w:color w:val="C30045"/>
                <w:sz w:val="20"/>
                <w:szCs w:val="20"/>
              </w:rPr>
              <w:t>Persona jurídica</w:t>
            </w:r>
          </w:p>
        </w:tc>
      </w:tr>
      <w:tr>
        <w:trPr/>
        <w:tc>
          <w:tcPr>
            <w:tcW w:w="1686" w:type="dxa"/>
            <w:tcBorders>
              <w:top w:val="single" w:sz="18" w:space="0" w:color="000000"/>
              <w:left w:val="single" w:sz="18" w:space="0" w:color="000000"/>
              <w:bottom w:val="single" w:sz="18" w:space="0" w:color="000000"/>
              <w:insideH w:val="single" w:sz="18" w:space="0" w:color="000000"/>
            </w:tcBorders>
            <w:shd w:fill="auto" w:val="clear"/>
          </w:tcPr>
          <w:p>
            <w:pPr>
              <w:pStyle w:val="Normal"/>
              <w:spacing w:before="60" w:after="60"/>
              <w:rPr>
                <w:sz w:val="20"/>
                <w:szCs w:val="20"/>
              </w:rPr>
            </w:pPr>
            <w:r>
              <w:rPr>
                <w:sz w:val="20"/>
                <w:szCs w:val="20"/>
              </w:rPr>
              <w:t>NIF</w:t>
            </w:r>
          </w:p>
        </w:tc>
        <w:tc>
          <w:tcPr>
            <w:tcW w:w="2620" w:type="dxa"/>
            <w:gridSpan w:val="3"/>
            <w:tcBorders>
              <w:top w:val="single" w:sz="18" w:space="0" w:color="000000"/>
              <w:bottom w:val="single" w:sz="18" w:space="0" w:color="000000"/>
              <w:insideH w:val="single" w:sz="18" w:space="0" w:color="000000"/>
            </w:tcBorders>
            <w:shd w:fill="auto" w:val="clear"/>
          </w:tcPr>
          <w:p>
            <w:pPr>
              <w:pStyle w:val="Normal"/>
              <w:spacing w:before="60" w:after="60"/>
              <w:rPr>
                <w:sz w:val="20"/>
                <w:szCs w:val="20"/>
              </w:rPr>
            </w:pPr>
            <w:r>
              <w:rPr>
                <w:sz w:val="20"/>
                <w:szCs w:val="20"/>
              </w:rPr>
            </w:r>
          </w:p>
        </w:tc>
        <w:tc>
          <w:tcPr>
            <w:tcW w:w="3666" w:type="dxa"/>
            <w:gridSpan w:val="4"/>
            <w:tcBorders>
              <w:top w:val="single" w:sz="18" w:space="0" w:color="000000"/>
              <w:bottom w:val="single" w:sz="18" w:space="0" w:color="000000"/>
              <w:insideH w:val="single" w:sz="18" w:space="0" w:color="000000"/>
            </w:tcBorders>
            <w:shd w:fill="auto" w:val="clear"/>
          </w:tcPr>
          <w:p>
            <w:pPr>
              <w:pStyle w:val="Normal"/>
              <w:spacing w:before="60" w:after="60"/>
              <w:rPr>
                <w:sz w:val="20"/>
                <w:szCs w:val="20"/>
              </w:rPr>
            </w:pPr>
            <w:r>
              <w:rPr>
                <w:sz w:val="20"/>
                <w:szCs w:val="20"/>
              </w:rPr>
              <w:t>Denominació social</w:t>
            </w:r>
          </w:p>
        </w:tc>
        <w:tc>
          <w:tcPr>
            <w:tcW w:w="2799" w:type="dxa"/>
            <w:gridSpan w:val="3"/>
            <w:tc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cBorders>
            <w:shd w:fill="auto" w:val="clear"/>
          </w:tcPr>
          <w:p>
            <w:pPr>
              <w:pStyle w:val="Normal"/>
              <w:spacing w:before="60" w:after="60"/>
              <w:rPr>
                <w:sz w:val="20"/>
                <w:szCs w:val="20"/>
              </w:rPr>
            </w:pPr>
            <w:r>
              <w:rPr>
                <w:sz w:val="20"/>
                <w:szCs w:val="20"/>
              </w:rPr>
            </w:r>
          </w:p>
        </w:tc>
      </w:tr>
      <w:tr>
        <w:trPr/>
        <w:tc>
          <w:tcPr>
            <w:tcW w:w="1686" w:type="dxa"/>
            <w:tcBorders>
              <w:top w:val="single" w:sz="18" w:space="0" w:color="000000"/>
              <w:left w:val="single" w:sz="18" w:space="0" w:color="000000"/>
            </w:tcBorders>
            <w:shd w:fill="auto" w:val="clear"/>
          </w:tcPr>
          <w:p>
            <w:pPr>
              <w:pStyle w:val="Normal"/>
              <w:rPr>
                <w:b/>
                <w:b/>
                <w:color w:val="C30045"/>
                <w:sz w:val="20"/>
                <w:szCs w:val="20"/>
                <w:highlight w:val="yellow"/>
              </w:rPr>
            </w:pPr>
            <w:r>
              <w:rPr>
                <w:rFonts w:cs="Noto Sans"/>
                <w:b/>
                <w:bCs/>
                <w:color w:val="C30045"/>
                <w:sz w:val="20"/>
                <w:szCs w:val="20"/>
              </w:rPr>
              <w:t>Concepte</w:t>
            </w:r>
          </w:p>
        </w:tc>
        <w:tc>
          <w:tcPr>
            <w:tcW w:w="9085" w:type="dxa"/>
            <w:gridSpan w:val="10"/>
            <w:tcBorders>
              <w:top w:val="single" w:sz="2" w:space="0" w:color="000000"/>
              <w:left w:val="single" w:sz="18" w:space="0" w:color="000000"/>
              <w:bottom w:val="single" w:sz="2" w:space="0" w:color="000000"/>
              <w:right w:val="single" w:sz="18" w:space="0" w:color="000000"/>
              <w:insideH w:val="single" w:sz="2" w:space="0" w:color="000000"/>
              <w:insideV w:val="single" w:sz="18" w:space="0" w:color="000000"/>
            </w:tcBorders>
            <w:shd w:fill="auto" w:val="clear"/>
          </w:tcPr>
          <w:p>
            <w:pPr>
              <w:pStyle w:val="Normal"/>
              <w:spacing w:before="60" w:after="60"/>
              <w:rPr>
                <w:b/>
                <w:b/>
                <w:sz w:val="20"/>
                <w:szCs w:val="20"/>
              </w:rPr>
            </w:pPr>
            <w:r>
              <w:rPr>
                <w:b/>
                <w:sz w:val="20"/>
                <w:szCs w:val="20"/>
              </w:rPr>
              <w:t xml:space="preserve">Ajuts destinats als </w:t>
            </w:r>
            <w:r>
              <w:rPr>
                <w:b/>
                <w:bCs/>
                <w:sz w:val="20"/>
                <w:szCs w:val="20"/>
              </w:rPr>
              <w:t>mitjans de comunicació en llengua catalana a les Illes Balears</w:t>
            </w:r>
          </w:p>
        </w:tc>
      </w:tr>
      <w:tr>
        <w:trPr/>
        <w:tc>
          <w:tcPr>
            <w:tcW w:w="1686" w:type="dxa"/>
            <w:tcBorders>
              <w:top w:val="single" w:sz="18" w:space="0" w:color="000000"/>
              <w:left w:val="single" w:sz="18" w:space="0" w:color="000000"/>
              <w:bottom w:val="single" w:sz="18" w:space="0" w:color="000000"/>
              <w:insideH w:val="single" w:sz="18" w:space="0" w:color="000000"/>
            </w:tcBorders>
            <w:shd w:fill="auto" w:val="clear"/>
          </w:tcPr>
          <w:p>
            <w:pPr>
              <w:pStyle w:val="Normal"/>
              <w:rPr>
                <w:rFonts w:cs="Noto Sans"/>
                <w:b/>
                <w:b/>
                <w:bCs/>
                <w:sz w:val="20"/>
                <w:szCs w:val="20"/>
              </w:rPr>
            </w:pPr>
            <w:r>
              <w:rPr>
                <w:rFonts w:cs="Noto Sans"/>
                <w:b/>
                <w:bCs/>
                <w:sz w:val="20"/>
                <w:szCs w:val="20"/>
              </w:rPr>
            </w:r>
          </w:p>
        </w:tc>
        <w:tc>
          <w:tcPr>
            <w:tcW w:w="1138" w:type="dxa"/>
            <w:tcBorders>
              <w:top w:val="single" w:sz="18" w:space="0" w:color="000000"/>
              <w:left w:val="single" w:sz="2" w:space="0" w:color="000000"/>
              <w:bottom w:val="single" w:sz="18" w:space="0" w:color="000000"/>
              <w:right w:val="single" w:sz="2" w:space="0" w:color="000000"/>
              <w:insideH w:val="single" w:sz="18" w:space="0" w:color="000000"/>
              <w:insideV w:val="single" w:sz="2" w:space="0" w:color="000000"/>
            </w:tcBorders>
            <w:shd w:fill="auto" w:val="clear"/>
          </w:tcPr>
          <w:p>
            <w:pPr>
              <w:pStyle w:val="Normal"/>
              <w:spacing w:before="60" w:after="60"/>
              <w:rPr>
                <w:b/>
                <w:b/>
                <w:sz w:val="20"/>
                <w:szCs w:val="20"/>
              </w:rPr>
            </w:pPr>
            <w:r>
              <w:rPr>
                <w:b/>
                <w:sz w:val="20"/>
                <w:szCs w:val="20"/>
              </w:rPr>
              <w:t xml:space="preserve">□ </w:t>
            </w:r>
            <w:r>
              <w:rPr>
                <w:b/>
                <w:sz w:val="20"/>
                <w:szCs w:val="20"/>
              </w:rPr>
              <w:t>Línia A</w:t>
            </w:r>
          </w:p>
        </w:tc>
        <w:tc>
          <w:tcPr>
            <w:tcW w:w="1135" w:type="dxa"/>
            <w:tcBorders>
              <w:top w:val="single" w:sz="18" w:space="0" w:color="000000"/>
              <w:left w:val="single" w:sz="2" w:space="0" w:color="000000"/>
              <w:bottom w:val="single" w:sz="18" w:space="0" w:color="000000"/>
              <w:right w:val="single" w:sz="2" w:space="0" w:color="000000"/>
              <w:insideH w:val="single" w:sz="18" w:space="0" w:color="000000"/>
              <w:insideV w:val="single" w:sz="2" w:space="0" w:color="000000"/>
            </w:tcBorders>
            <w:shd w:fill="auto" w:val="clear"/>
          </w:tcPr>
          <w:p>
            <w:pPr>
              <w:pStyle w:val="Normal"/>
              <w:spacing w:before="60" w:after="60"/>
              <w:rPr>
                <w:b/>
                <w:b/>
                <w:sz w:val="20"/>
                <w:szCs w:val="20"/>
              </w:rPr>
            </w:pPr>
            <w:r>
              <w:rPr>
                <w:b/>
                <w:sz w:val="20"/>
                <w:szCs w:val="20"/>
              </w:rPr>
              <w:t xml:space="preserve">□ </w:t>
            </w:r>
            <w:r>
              <w:rPr>
                <w:b/>
                <w:sz w:val="20"/>
                <w:szCs w:val="20"/>
              </w:rPr>
              <w:t>Línia B</w:t>
            </w:r>
          </w:p>
        </w:tc>
        <w:tc>
          <w:tcPr>
            <w:tcW w:w="1137" w:type="dxa"/>
            <w:gridSpan w:val="2"/>
            <w:tcBorders>
              <w:top w:val="single" w:sz="18" w:space="0" w:color="000000"/>
              <w:left w:val="single" w:sz="2" w:space="0" w:color="000000"/>
              <w:bottom w:val="single" w:sz="18" w:space="0" w:color="000000"/>
              <w:right w:val="single" w:sz="2" w:space="0" w:color="000000"/>
              <w:insideH w:val="single" w:sz="18" w:space="0" w:color="000000"/>
              <w:insideV w:val="single" w:sz="2" w:space="0" w:color="000000"/>
            </w:tcBorders>
            <w:shd w:fill="auto" w:val="clear"/>
          </w:tcPr>
          <w:p>
            <w:pPr>
              <w:pStyle w:val="Normal"/>
              <w:spacing w:before="60" w:after="60"/>
              <w:rPr>
                <w:b/>
                <w:b/>
                <w:sz w:val="20"/>
                <w:szCs w:val="20"/>
              </w:rPr>
            </w:pPr>
            <w:r>
              <w:rPr>
                <w:b/>
                <w:sz w:val="20"/>
                <w:szCs w:val="20"/>
              </w:rPr>
              <w:t xml:space="preserve">□ </w:t>
            </w:r>
            <w:r>
              <w:rPr>
                <w:b/>
                <w:sz w:val="20"/>
                <w:szCs w:val="20"/>
              </w:rPr>
              <w:t>Línia C</w:t>
            </w:r>
          </w:p>
        </w:tc>
        <w:tc>
          <w:tcPr>
            <w:tcW w:w="1135" w:type="dxa"/>
            <w:tcBorders>
              <w:top w:val="single" w:sz="18" w:space="0" w:color="000000"/>
              <w:left w:val="single" w:sz="2" w:space="0" w:color="000000"/>
              <w:bottom w:val="single" w:sz="18" w:space="0" w:color="000000"/>
              <w:right w:val="single" w:sz="2" w:space="0" w:color="000000"/>
              <w:insideH w:val="single" w:sz="18" w:space="0" w:color="000000"/>
              <w:insideV w:val="single" w:sz="2" w:space="0" w:color="000000"/>
            </w:tcBorders>
            <w:shd w:fill="auto" w:val="clear"/>
          </w:tcPr>
          <w:p>
            <w:pPr>
              <w:pStyle w:val="Normal"/>
              <w:spacing w:before="60" w:after="60"/>
              <w:rPr>
                <w:b/>
                <w:b/>
                <w:sz w:val="20"/>
                <w:szCs w:val="20"/>
              </w:rPr>
            </w:pPr>
            <w:r>
              <w:rPr>
                <w:b/>
                <w:sz w:val="20"/>
                <w:szCs w:val="20"/>
              </w:rPr>
              <w:t xml:space="preserve">□ </w:t>
            </w:r>
            <w:r>
              <w:rPr>
                <w:b/>
                <w:sz w:val="20"/>
                <w:szCs w:val="20"/>
              </w:rPr>
              <w:t>Línia D</w:t>
            </w:r>
          </w:p>
        </w:tc>
        <w:tc>
          <w:tcPr>
            <w:tcW w:w="1135" w:type="dxa"/>
            <w:tcBorders>
              <w:top w:val="single" w:sz="18" w:space="0" w:color="000000"/>
              <w:left w:val="single" w:sz="2" w:space="0" w:color="000000"/>
              <w:bottom w:val="single" w:sz="18" w:space="0" w:color="000000"/>
              <w:right w:val="single" w:sz="2" w:space="0" w:color="000000"/>
              <w:insideH w:val="single" w:sz="18" w:space="0" w:color="000000"/>
              <w:insideV w:val="single" w:sz="2" w:space="0" w:color="000000"/>
            </w:tcBorders>
            <w:shd w:fill="auto" w:val="clear"/>
          </w:tcPr>
          <w:p>
            <w:pPr>
              <w:pStyle w:val="Normal"/>
              <w:spacing w:before="60" w:after="60"/>
              <w:rPr>
                <w:b/>
                <w:b/>
                <w:sz w:val="20"/>
                <w:szCs w:val="20"/>
              </w:rPr>
            </w:pPr>
            <w:r>
              <w:rPr>
                <w:b/>
                <w:sz w:val="20"/>
                <w:szCs w:val="20"/>
              </w:rPr>
              <w:t xml:space="preserve">□ </w:t>
            </w:r>
            <w:r>
              <w:rPr>
                <w:b/>
                <w:sz w:val="20"/>
                <w:szCs w:val="20"/>
              </w:rPr>
              <w:t>Línia E</w:t>
            </w:r>
          </w:p>
        </w:tc>
        <w:tc>
          <w:tcPr>
            <w:tcW w:w="1138" w:type="dxa"/>
            <w:gridSpan w:val="2"/>
            <w:tcBorders>
              <w:top w:val="single" w:sz="18" w:space="0" w:color="000000"/>
              <w:left w:val="single" w:sz="2" w:space="0" w:color="000000"/>
              <w:bottom w:val="single" w:sz="18" w:space="0" w:color="000000"/>
              <w:right w:val="single" w:sz="2" w:space="0" w:color="000000"/>
              <w:insideH w:val="single" w:sz="18" w:space="0" w:color="000000"/>
              <w:insideV w:val="single" w:sz="2" w:space="0" w:color="000000"/>
            </w:tcBorders>
            <w:shd w:fill="auto" w:val="clear"/>
          </w:tcPr>
          <w:p>
            <w:pPr>
              <w:pStyle w:val="Normal"/>
              <w:spacing w:before="60" w:after="60"/>
              <w:rPr>
                <w:b/>
                <w:b/>
                <w:sz w:val="20"/>
                <w:szCs w:val="20"/>
              </w:rPr>
            </w:pPr>
            <w:r>
              <w:rPr>
                <w:b/>
                <w:sz w:val="20"/>
                <w:szCs w:val="20"/>
              </w:rPr>
              <w:t xml:space="preserve">□ </w:t>
            </w:r>
            <w:r>
              <w:rPr>
                <w:b/>
                <w:sz w:val="20"/>
                <w:szCs w:val="20"/>
              </w:rPr>
              <w:t>Línia F</w:t>
            </w:r>
          </w:p>
        </w:tc>
        <w:tc>
          <w:tcPr>
            <w:tcW w:w="1135" w:type="dxa"/>
            <w:tcBorders>
              <w:top w:val="single" w:sz="18" w:space="0" w:color="000000"/>
              <w:left w:val="single" w:sz="2" w:space="0" w:color="000000"/>
              <w:bottom w:val="single" w:sz="18" w:space="0" w:color="000000"/>
              <w:right w:val="single" w:sz="2" w:space="0" w:color="000000"/>
              <w:insideH w:val="single" w:sz="18" w:space="0" w:color="000000"/>
              <w:insideV w:val="single" w:sz="2" w:space="0" w:color="000000"/>
            </w:tcBorders>
            <w:shd w:fill="auto" w:val="clear"/>
          </w:tcPr>
          <w:p>
            <w:pPr>
              <w:pStyle w:val="Normal"/>
              <w:spacing w:before="60" w:after="60"/>
              <w:rPr>
                <w:b/>
                <w:b/>
                <w:sz w:val="20"/>
                <w:szCs w:val="20"/>
              </w:rPr>
            </w:pPr>
            <w:r>
              <w:rPr>
                <w:b/>
                <w:sz w:val="20"/>
                <w:szCs w:val="20"/>
              </w:rPr>
              <w:t xml:space="preserve">□ </w:t>
            </w:r>
            <w:r>
              <w:rPr>
                <w:b/>
                <w:sz w:val="20"/>
                <w:szCs w:val="20"/>
              </w:rPr>
              <w:t>Línia G</w:t>
            </w:r>
          </w:p>
        </w:tc>
        <w:tc>
          <w:tcPr>
            <w:tcW w:w="1132" w:type="dxa"/>
            <w:tcBorders>
              <w:top w:val="single" w:sz="18" w:space="0" w:color="000000"/>
              <w:left w:val="single" w:sz="2" w:space="0" w:color="000000"/>
              <w:bottom w:val="single" w:sz="18" w:space="0" w:color="000000"/>
              <w:right w:val="single" w:sz="18" w:space="0" w:color="000000"/>
              <w:insideH w:val="single" w:sz="18" w:space="0" w:color="000000"/>
              <w:insideV w:val="single" w:sz="18" w:space="0" w:color="000000"/>
            </w:tcBorders>
            <w:shd w:fill="auto" w:val="clear"/>
          </w:tcPr>
          <w:p>
            <w:pPr>
              <w:pStyle w:val="Normal"/>
              <w:spacing w:before="60" w:after="60"/>
              <w:rPr>
                <w:b/>
                <w:b/>
                <w:sz w:val="20"/>
                <w:szCs w:val="20"/>
              </w:rPr>
            </w:pPr>
            <w:r>
              <w:rPr>
                <w:b/>
                <w:sz w:val="20"/>
                <w:szCs w:val="20"/>
              </w:rPr>
              <w:t xml:space="preserve">□ </w:t>
            </w:r>
            <w:r>
              <w:rPr>
                <w:b/>
                <w:sz w:val="20"/>
                <w:szCs w:val="20"/>
              </w:rPr>
              <w:t>Línia H</w:t>
            </w:r>
          </w:p>
        </w:tc>
      </w:tr>
      <w:tr>
        <w:trPr/>
        <w:tc>
          <w:tcPr>
            <w:tcW w:w="10771" w:type="dxa"/>
            <w:gridSpan w:val="11"/>
            <w:tcBorders>
              <w:top w:val="single" w:sz="18" w:space="0" w:color="000000"/>
              <w:left w:val="nil"/>
              <w:right w:val="nil"/>
              <w:insideV w:val="nil"/>
            </w:tcBorders>
            <w:shd w:fill="auto" w:val="clear"/>
          </w:tcPr>
          <w:p>
            <w:pPr>
              <w:pStyle w:val="Normal"/>
              <w:spacing w:before="60" w:after="0"/>
              <w:rPr>
                <w:b/>
                <w:b/>
                <w:smallCaps/>
                <w:sz w:val="20"/>
                <w:szCs w:val="20"/>
              </w:rPr>
            </w:pPr>
            <w:r>
              <w:rPr>
                <w:b/>
                <w:smallCaps/>
                <w:sz w:val="20"/>
                <w:szCs w:val="20"/>
              </w:rPr>
            </w:r>
          </w:p>
        </w:tc>
      </w:tr>
      <w:tr>
        <w:trPr/>
        <w:tc>
          <w:tcPr>
            <w:tcW w:w="10771" w:type="dxa"/>
            <w:gridSpan w:val="11"/>
            <w:tcBorders>
              <w:top w:val="single" w:sz="18" w:space="0" w:color="000000"/>
              <w:left w:val="single" w:sz="18" w:space="0" w:color="000000"/>
              <w:right w:val="single" w:sz="18" w:space="0" w:color="000000"/>
              <w:insideV w:val="single" w:sz="18" w:space="0" w:color="000000"/>
            </w:tcBorders>
            <w:shd w:fill="auto" w:val="clear"/>
          </w:tcPr>
          <w:p>
            <w:pPr>
              <w:pStyle w:val="Normal"/>
              <w:spacing w:before="60" w:after="60"/>
              <w:rPr>
                <w:sz w:val="20"/>
                <w:szCs w:val="20"/>
              </w:rPr>
            </w:pPr>
            <w:r>
              <w:rPr>
                <w:sz w:val="20"/>
                <w:szCs w:val="20"/>
              </w:rPr>
              <w:t>DECLAR que:</w:t>
            </w:r>
          </w:p>
        </w:tc>
      </w:tr>
      <w:tr>
        <w:trPr/>
        <w:tc>
          <w:tcPr>
            <w:tcW w:w="10771" w:type="dxa"/>
            <w:gridSpan w:val="11"/>
            <w:tcBorders>
              <w:left w:val="single" w:sz="18" w:space="0" w:color="000000"/>
              <w:right w:val="single" w:sz="18" w:space="0" w:color="000000"/>
              <w:insideV w:val="single" w:sz="18" w:space="0" w:color="000000"/>
            </w:tcBorders>
            <w:shd w:fill="auto" w:val="clear"/>
          </w:tcPr>
          <w:p>
            <w:pPr>
              <w:pStyle w:val="ListParagraph"/>
              <w:numPr>
                <w:ilvl w:val="0"/>
                <w:numId w:val="1"/>
              </w:numPr>
              <w:spacing w:before="60" w:after="60"/>
              <w:contextualSpacing/>
              <w:rPr>
                <w:sz w:val="20"/>
                <w:szCs w:val="20"/>
              </w:rPr>
            </w:pPr>
            <w:r>
              <w:rPr>
                <w:rFonts w:cs="Noto Sans"/>
                <w:sz w:val="20"/>
                <w:szCs w:val="20"/>
              </w:rPr>
              <w:t>Aquest compte justificatiu abasta el cost total de l’activitat que ha servit de base per a la concessió de la subvenció i conté la totalitat dels justificants imputables a aquesta activitat.</w:t>
            </w:r>
          </w:p>
        </w:tc>
      </w:tr>
      <w:tr>
        <w:trPr/>
        <w:tc>
          <w:tcPr>
            <w:tcW w:w="10771" w:type="dxa"/>
            <w:gridSpan w:val="11"/>
            <w:tcBorders>
              <w:left w:val="single" w:sz="18" w:space="0" w:color="000000"/>
              <w:right w:val="single" w:sz="18" w:space="0" w:color="000000"/>
              <w:insideV w:val="single" w:sz="18" w:space="0" w:color="000000"/>
            </w:tcBorders>
            <w:shd w:fill="auto" w:val="clear"/>
          </w:tcPr>
          <w:p>
            <w:pPr>
              <w:pStyle w:val="ListParagraph"/>
              <w:numPr>
                <w:ilvl w:val="0"/>
                <w:numId w:val="1"/>
              </w:numPr>
              <w:spacing w:before="60" w:after="60"/>
              <w:contextualSpacing/>
              <w:rPr>
                <w:sz w:val="20"/>
                <w:szCs w:val="20"/>
              </w:rPr>
            </w:pPr>
            <w:r>
              <w:rPr>
                <w:rFonts w:cs="Noto Sans"/>
                <w:sz w:val="20"/>
                <w:szCs w:val="20"/>
              </w:rPr>
              <w:t>Totes les dades contingudes en aquest compte justificatiu són vertaderes i</w:t>
            </w:r>
            <w:r>
              <w:rPr>
                <w:sz w:val="20"/>
                <w:szCs w:val="20"/>
              </w:rPr>
              <w:t xml:space="preserve"> correctes.</w:t>
            </w:r>
          </w:p>
        </w:tc>
      </w:tr>
      <w:tr>
        <w:trPr/>
        <w:tc>
          <w:tcPr>
            <w:tcW w:w="10771" w:type="dxa"/>
            <w:gridSpan w:val="11"/>
            <w:tcBorders>
              <w:left w:val="single" w:sz="18" w:space="0" w:color="000000"/>
              <w:right w:val="single" w:sz="18" w:space="0" w:color="000000"/>
              <w:insideV w:val="single" w:sz="18" w:space="0" w:color="000000"/>
            </w:tcBorders>
            <w:shd w:fill="auto" w:val="clear"/>
          </w:tcPr>
          <w:p>
            <w:pPr>
              <w:pStyle w:val="ListParagraph"/>
              <w:numPr>
                <w:ilvl w:val="0"/>
                <w:numId w:val="1"/>
              </w:numPr>
              <w:spacing w:before="60" w:after="60"/>
              <w:contextualSpacing/>
              <w:rPr>
                <w:i/>
                <w:i/>
                <w:iCs/>
                <w:sz w:val="20"/>
                <w:szCs w:val="20"/>
              </w:rPr>
            </w:pPr>
            <w:r>
              <w:rPr>
                <w:rFonts w:eastAsia="Times New Roman" w:cs="Noto Sans"/>
                <w:sz w:val="20"/>
                <w:szCs w:val="20"/>
                <w:lang w:eastAsia="es-ES"/>
              </w:rPr>
              <w:t>Els justificants originals de les despeses i els ingressos, els cobraments i els pagaments que es detallen estan custodiats sota la meva responsabilitat.</w:t>
            </w:r>
          </w:p>
        </w:tc>
      </w:tr>
      <w:tr>
        <w:trPr/>
        <w:tc>
          <w:tcPr>
            <w:tcW w:w="10771" w:type="dxa"/>
            <w:gridSpan w:val="11"/>
            <w:tcBorders>
              <w:left w:val="single" w:sz="18" w:space="0" w:color="000000"/>
              <w:right w:val="single" w:sz="18" w:space="0" w:color="000000"/>
              <w:insideV w:val="single" w:sz="18" w:space="0" w:color="000000"/>
            </w:tcBorders>
            <w:shd w:fill="auto" w:val="clear"/>
          </w:tcPr>
          <w:p>
            <w:pPr>
              <w:pStyle w:val="ListParagraph"/>
              <w:numPr>
                <w:ilvl w:val="0"/>
                <w:numId w:val="1"/>
              </w:numPr>
              <w:spacing w:before="60" w:after="60"/>
              <w:contextualSpacing/>
              <w:rPr>
                <w:i/>
                <w:i/>
                <w:iCs/>
                <w:sz w:val="20"/>
                <w:szCs w:val="20"/>
              </w:rPr>
            </w:pPr>
            <w:r>
              <w:rPr>
                <w:iCs/>
                <w:sz w:val="20"/>
                <w:szCs w:val="20"/>
              </w:rPr>
              <w:t>Els justificants esmentats estan a disposició de qualsevol òrgan de control intern o extern de l’Administració autonòmica, estatal o europea</w:t>
            </w:r>
            <w:r>
              <w:rPr>
                <w:i/>
                <w:iCs/>
                <w:sz w:val="20"/>
                <w:szCs w:val="20"/>
              </w:rPr>
              <w:t>.</w:t>
            </w:r>
          </w:p>
        </w:tc>
      </w:tr>
      <w:tr>
        <w:trPr/>
        <w:tc>
          <w:tcPr>
            <w:tcW w:w="10771" w:type="dxa"/>
            <w:gridSpan w:val="11"/>
            <w:tcBorders>
              <w:left w:val="single" w:sz="18" w:space="0" w:color="000000"/>
              <w:right w:val="single" w:sz="18" w:space="0" w:color="000000"/>
              <w:insideV w:val="single" w:sz="18" w:space="0" w:color="000000"/>
            </w:tcBorders>
            <w:shd w:fill="auto" w:val="clear"/>
          </w:tcPr>
          <w:p>
            <w:pPr>
              <w:pStyle w:val="ListParagraph"/>
              <w:numPr>
                <w:ilvl w:val="0"/>
                <w:numId w:val="1"/>
              </w:numPr>
              <w:spacing w:before="60" w:after="60"/>
              <w:contextualSpacing/>
              <w:rPr>
                <w:i/>
                <w:i/>
                <w:iCs/>
                <w:sz w:val="20"/>
                <w:szCs w:val="20"/>
              </w:rPr>
            </w:pPr>
            <w:r>
              <w:rPr>
                <w:rFonts w:eastAsia="Times New Roman" w:cs="Noto Sans"/>
                <w:sz w:val="20"/>
                <w:szCs w:val="20"/>
                <w:lang w:eastAsia="es-ES"/>
              </w:rPr>
              <w:t>Em compromet a col·laborar en les actuacions de comprovació i verificació que l’Administració o els seus òrgans de control considerin necessàries per comprovar la veracitat o la correcció de les activitats subvencionades o de la justificació presentada.</w:t>
            </w:r>
          </w:p>
        </w:tc>
      </w:tr>
      <w:tr>
        <w:trPr/>
        <w:tc>
          <w:tcPr>
            <w:tcW w:w="10771" w:type="dxa"/>
            <w:gridSpan w:val="11"/>
            <w:tcBorders>
              <w:left w:val="single" w:sz="18" w:space="0" w:color="000000"/>
              <w:right w:val="single" w:sz="18" w:space="0" w:color="000000"/>
              <w:insideV w:val="single" w:sz="18" w:space="0" w:color="000000"/>
            </w:tcBorders>
            <w:shd w:fill="auto" w:val="clear"/>
          </w:tcPr>
          <w:p>
            <w:pPr>
              <w:pStyle w:val="Normal"/>
              <w:spacing w:before="60" w:after="60"/>
              <w:rPr>
                <w:rFonts w:eastAsia="Times New Roman" w:cs="Noto Sans"/>
                <w:i/>
                <w:i/>
                <w:iCs/>
                <w:sz w:val="20"/>
                <w:szCs w:val="20"/>
                <w:lang w:eastAsia="es-ES"/>
              </w:rPr>
            </w:pPr>
            <w:r>
              <w:rPr>
                <w:rFonts w:cs="Noto Sans"/>
                <w:b/>
                <w:smallCaps/>
                <w:color w:val="C30045"/>
                <w:sz w:val="20"/>
                <w:szCs w:val="20"/>
              </w:rPr>
              <w:t>Data:</w:t>
            </w:r>
            <w:r>
              <w:rPr>
                <w:rFonts w:eastAsia="Times New Roman" w:cs="Noto Sans"/>
                <w:iCs/>
                <w:sz w:val="20"/>
                <w:szCs w:val="20"/>
                <w:lang w:eastAsia="es-ES"/>
              </w:rPr>
              <w:t xml:space="preserve"> </w:t>
            </w:r>
          </w:p>
        </w:tc>
      </w:tr>
      <w:tr>
        <w:trPr/>
        <w:tc>
          <w:tcPr>
            <w:tcW w:w="10771" w:type="dxa"/>
            <w:gridSpan w:val="11"/>
            <w:tc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cBorders>
            <w:shd w:fill="auto" w:val="clear"/>
          </w:tcPr>
          <w:p>
            <w:pPr>
              <w:pStyle w:val="Normal"/>
              <w:spacing w:before="60" w:after="60"/>
              <w:rPr>
                <w:rFonts w:eastAsia="Times New Roman" w:cs="Noto Sans"/>
                <w:iCs/>
                <w:sz w:val="20"/>
                <w:szCs w:val="20"/>
                <w:lang w:eastAsia="es-ES"/>
              </w:rPr>
            </w:pPr>
            <w:r>
              <w:rPr>
                <w:rFonts w:cs="Noto Sans"/>
                <w:b/>
                <w:smallCaps/>
                <w:color w:val="C30045"/>
                <w:sz w:val="20"/>
                <w:szCs w:val="20"/>
              </w:rPr>
              <w:t>El representant de l’entitat beneficiària:</w:t>
            </w:r>
          </w:p>
        </w:tc>
      </w:tr>
    </w:tbl>
    <w:p>
      <w:pPr>
        <w:pStyle w:val="Normal"/>
        <w:rPr/>
      </w:pPr>
      <w:r>
        <w:rPr>
          <w:color w:val="A6A6A6" w:themeColor="background1" w:themeShade="a6"/>
          <w:sz w:val="20"/>
          <w:szCs w:val="20"/>
        </w:rPr>
        <w:t>[rúbrica]</w:t>
      </w:r>
    </w:p>
    <w:p>
      <w:pPr>
        <w:pStyle w:val="Normal"/>
        <w:rPr/>
      </w:pPr>
      <w:r>
        <w:rPr/>
      </w:r>
      <w:r>
        <w:br w:type="page"/>
      </w:r>
    </w:p>
    <w:p>
      <w:pPr>
        <w:pStyle w:val="Normal"/>
        <w:rPr/>
      </w:pPr>
      <w:r>
        <w:rPr/>
      </w:r>
    </w:p>
    <w:p>
      <w:pPr>
        <w:pStyle w:val="Normal"/>
        <w:rPr>
          <w:rFonts w:cs="Noto Sans"/>
          <w:b/>
          <w:b/>
          <w:smallCaps/>
          <w:color w:val="C30045"/>
          <w:sz w:val="20"/>
          <w:szCs w:val="20"/>
        </w:rPr>
      </w:pPr>
      <w:r>
        <w:rPr>
          <w:rFonts w:cs="Noto Sans"/>
          <w:b/>
          <w:smallCaps/>
          <w:color w:val="C30045"/>
          <w:sz w:val="20"/>
          <w:szCs w:val="20"/>
        </w:rPr>
        <w:t>MEMÒRIA D’ACTUACIÓ</w:t>
      </w:r>
    </w:p>
    <w:p>
      <w:pPr>
        <w:pStyle w:val="Normal"/>
        <w:rPr/>
      </w:pPr>
      <w:r>
        <w:rPr/>
      </w:r>
    </w:p>
    <w:tbl>
      <w:tblPr>
        <w:tblStyle w:val="Taulaambquadrcula"/>
        <w:tblW w:w="10987" w:type="dxa"/>
        <w:jc w:val="left"/>
        <w:tblInd w:w="0" w:type="dxa"/>
        <w:tblCellMar>
          <w:top w:w="55" w:type="dxa"/>
          <w:left w:w="108" w:type="dxa"/>
          <w:bottom w:w="55" w:type="dxa"/>
          <w:right w:w="108" w:type="dxa"/>
        </w:tblCellMar>
        <w:tblLook w:val="04a0"/>
      </w:tblPr>
      <w:tblGrid>
        <w:gridCol w:w="10987"/>
      </w:tblGrid>
      <w:tr>
        <w:trPr/>
        <w:tc>
          <w:tcPr>
            <w:tcW w:w="10987" w:type="dxa"/>
            <w:tc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cBorders>
            <w:shd w:fill="auto" w:val="clear"/>
          </w:tcPr>
          <w:p>
            <w:pPr>
              <w:pStyle w:val="Normal"/>
              <w:keepNext w:val="true"/>
              <w:keepLines/>
              <w:rPr>
                <w:sz w:val="20"/>
                <w:szCs w:val="20"/>
              </w:rPr>
            </w:pPr>
            <w:r>
              <w:rPr>
                <w:sz w:val="20"/>
                <w:szCs w:val="20"/>
              </w:rPr>
            </w:r>
          </w:p>
          <w:p>
            <w:pPr>
              <w:pStyle w:val="Normal"/>
              <w:keepNext w:val="true"/>
              <w:keepLines/>
              <w:rPr>
                <w:sz w:val="20"/>
                <w:szCs w:val="20"/>
              </w:rPr>
            </w:pPr>
            <w:r>
              <w:rPr>
                <w:sz w:val="20"/>
                <w:szCs w:val="20"/>
              </w:rPr>
            </w:r>
          </w:p>
          <w:p>
            <w:pPr>
              <w:pStyle w:val="Normal"/>
              <w:keepNext w:val="true"/>
              <w:keepLines/>
              <w:rPr>
                <w:sz w:val="20"/>
                <w:szCs w:val="20"/>
              </w:rPr>
            </w:pPr>
            <w:r>
              <w:rPr>
                <w:sz w:val="20"/>
                <w:szCs w:val="20"/>
              </w:rPr>
            </w:r>
          </w:p>
          <w:p>
            <w:pPr>
              <w:pStyle w:val="Normal"/>
              <w:keepNext w:val="true"/>
              <w:keepLines/>
              <w:rPr>
                <w:sz w:val="20"/>
                <w:szCs w:val="20"/>
              </w:rPr>
            </w:pPr>
            <w:r>
              <w:rPr>
                <w:sz w:val="20"/>
                <w:szCs w:val="20"/>
              </w:rPr>
            </w:r>
          </w:p>
          <w:p>
            <w:pPr>
              <w:pStyle w:val="Normal"/>
              <w:keepNext w:val="true"/>
              <w:keepLines/>
              <w:rPr>
                <w:sz w:val="20"/>
                <w:szCs w:val="20"/>
              </w:rPr>
            </w:pPr>
            <w:r>
              <w:rPr>
                <w:sz w:val="20"/>
                <w:szCs w:val="20"/>
              </w:rPr>
            </w:r>
          </w:p>
          <w:p>
            <w:pPr>
              <w:pStyle w:val="Normal"/>
              <w:keepNext w:val="true"/>
              <w:keepLines/>
              <w:rPr>
                <w:sz w:val="20"/>
                <w:szCs w:val="20"/>
              </w:rPr>
            </w:pPr>
            <w:r>
              <w:rPr>
                <w:sz w:val="20"/>
                <w:szCs w:val="20"/>
              </w:rPr>
            </w:r>
          </w:p>
          <w:p>
            <w:pPr>
              <w:pStyle w:val="Normal"/>
              <w:keepNext w:val="true"/>
              <w:keepLines/>
              <w:rPr>
                <w:sz w:val="20"/>
                <w:szCs w:val="20"/>
              </w:rPr>
            </w:pPr>
            <w:r>
              <w:rPr>
                <w:sz w:val="20"/>
                <w:szCs w:val="20"/>
              </w:rPr>
            </w:r>
          </w:p>
          <w:p>
            <w:pPr>
              <w:pStyle w:val="Normal"/>
              <w:keepNext w:val="true"/>
              <w:keepLines/>
              <w:rPr>
                <w:sz w:val="20"/>
                <w:szCs w:val="20"/>
              </w:rPr>
            </w:pPr>
            <w:r>
              <w:rPr>
                <w:sz w:val="20"/>
                <w:szCs w:val="20"/>
              </w:rPr>
            </w:r>
          </w:p>
          <w:p>
            <w:pPr>
              <w:pStyle w:val="Normal"/>
              <w:keepNext w:val="true"/>
              <w:keepLines/>
              <w:rPr>
                <w:sz w:val="20"/>
                <w:szCs w:val="20"/>
              </w:rPr>
            </w:pPr>
            <w:r>
              <w:rPr>
                <w:sz w:val="20"/>
                <w:szCs w:val="20"/>
              </w:rPr>
            </w:r>
          </w:p>
          <w:p>
            <w:pPr>
              <w:pStyle w:val="Normal"/>
              <w:keepNext w:val="true"/>
              <w:keepLines/>
              <w:rPr>
                <w:sz w:val="20"/>
                <w:szCs w:val="20"/>
              </w:rPr>
            </w:pPr>
            <w:r>
              <w:rPr>
                <w:sz w:val="20"/>
                <w:szCs w:val="20"/>
              </w:rPr>
            </w:r>
          </w:p>
          <w:p>
            <w:pPr>
              <w:pStyle w:val="Normal"/>
              <w:keepNext w:val="true"/>
              <w:keepLines/>
              <w:rPr>
                <w:sz w:val="20"/>
                <w:szCs w:val="20"/>
              </w:rPr>
            </w:pPr>
            <w:r>
              <w:rPr>
                <w:sz w:val="20"/>
                <w:szCs w:val="20"/>
              </w:rPr>
            </w:r>
          </w:p>
          <w:p>
            <w:pPr>
              <w:pStyle w:val="Normal"/>
              <w:keepNext w:val="true"/>
              <w:keepLines/>
              <w:rPr>
                <w:sz w:val="20"/>
                <w:szCs w:val="20"/>
              </w:rPr>
            </w:pPr>
            <w:r>
              <w:rPr>
                <w:sz w:val="20"/>
                <w:szCs w:val="20"/>
              </w:rPr>
            </w:r>
          </w:p>
          <w:p>
            <w:pPr>
              <w:pStyle w:val="Normal"/>
              <w:keepNext w:val="true"/>
              <w:keepLines/>
              <w:rPr>
                <w:sz w:val="20"/>
                <w:szCs w:val="20"/>
              </w:rPr>
            </w:pPr>
            <w:r>
              <w:rPr>
                <w:sz w:val="20"/>
                <w:szCs w:val="20"/>
              </w:rPr>
            </w:r>
          </w:p>
          <w:p>
            <w:pPr>
              <w:pStyle w:val="Normal"/>
              <w:keepNext w:val="true"/>
              <w:keepLines/>
              <w:rPr>
                <w:sz w:val="20"/>
                <w:szCs w:val="20"/>
              </w:rPr>
            </w:pPr>
            <w:r>
              <w:rPr>
                <w:sz w:val="20"/>
                <w:szCs w:val="20"/>
              </w:rPr>
            </w:r>
          </w:p>
          <w:p>
            <w:pPr>
              <w:pStyle w:val="Normal"/>
              <w:keepNext w:val="true"/>
              <w:keepLines/>
              <w:rPr>
                <w:sz w:val="20"/>
                <w:szCs w:val="20"/>
              </w:rPr>
            </w:pPr>
            <w:r>
              <w:rPr>
                <w:sz w:val="20"/>
                <w:szCs w:val="20"/>
              </w:rPr>
            </w:r>
          </w:p>
          <w:p>
            <w:pPr>
              <w:pStyle w:val="Normal"/>
              <w:keepNext w:val="true"/>
              <w:keepLines/>
              <w:rPr>
                <w:sz w:val="20"/>
                <w:szCs w:val="20"/>
              </w:rPr>
            </w:pPr>
            <w:r>
              <w:rPr>
                <w:sz w:val="20"/>
                <w:szCs w:val="20"/>
              </w:rPr>
            </w:r>
          </w:p>
          <w:p>
            <w:pPr>
              <w:pStyle w:val="Normal"/>
              <w:keepNext w:val="true"/>
              <w:keepLines/>
              <w:rPr>
                <w:sz w:val="20"/>
                <w:szCs w:val="20"/>
              </w:rPr>
            </w:pPr>
            <w:r>
              <w:rPr>
                <w:sz w:val="20"/>
                <w:szCs w:val="20"/>
              </w:rPr>
            </w:r>
          </w:p>
          <w:p>
            <w:pPr>
              <w:pStyle w:val="Normal"/>
              <w:keepNext w:val="true"/>
              <w:keepLines/>
              <w:rPr>
                <w:sz w:val="20"/>
                <w:szCs w:val="20"/>
              </w:rPr>
            </w:pPr>
            <w:r>
              <w:rPr>
                <w:sz w:val="20"/>
                <w:szCs w:val="20"/>
              </w:rPr>
            </w:r>
          </w:p>
          <w:p>
            <w:pPr>
              <w:pStyle w:val="Normal"/>
              <w:keepNext w:val="true"/>
              <w:keepLines/>
              <w:rPr>
                <w:sz w:val="20"/>
                <w:szCs w:val="20"/>
              </w:rPr>
            </w:pPr>
            <w:r>
              <w:rPr>
                <w:sz w:val="20"/>
                <w:szCs w:val="20"/>
              </w:rPr>
            </w:r>
          </w:p>
          <w:p>
            <w:pPr>
              <w:pStyle w:val="Normal"/>
              <w:keepNext w:val="true"/>
              <w:keepLines/>
              <w:rPr>
                <w:sz w:val="20"/>
                <w:szCs w:val="20"/>
              </w:rPr>
            </w:pPr>
            <w:r>
              <w:rPr>
                <w:sz w:val="20"/>
                <w:szCs w:val="20"/>
              </w:rPr>
            </w:r>
          </w:p>
          <w:p>
            <w:pPr>
              <w:pStyle w:val="Normal"/>
              <w:keepNext w:val="true"/>
              <w:keepLines/>
              <w:rPr>
                <w:sz w:val="20"/>
                <w:szCs w:val="20"/>
              </w:rPr>
            </w:pPr>
            <w:r>
              <w:rPr>
                <w:sz w:val="20"/>
                <w:szCs w:val="20"/>
              </w:rPr>
            </w:r>
          </w:p>
          <w:p>
            <w:pPr>
              <w:pStyle w:val="Normal"/>
              <w:keepNext w:val="true"/>
              <w:keepLines/>
              <w:rPr>
                <w:sz w:val="20"/>
                <w:szCs w:val="20"/>
              </w:rPr>
            </w:pPr>
            <w:r>
              <w:rPr>
                <w:sz w:val="20"/>
                <w:szCs w:val="20"/>
              </w:rPr>
            </w:r>
          </w:p>
          <w:p>
            <w:pPr>
              <w:pStyle w:val="Normal"/>
              <w:keepNext w:val="true"/>
              <w:keepLines/>
              <w:rPr>
                <w:sz w:val="20"/>
                <w:szCs w:val="20"/>
              </w:rPr>
            </w:pPr>
            <w:r>
              <w:rPr>
                <w:sz w:val="20"/>
                <w:szCs w:val="20"/>
              </w:rPr>
            </w:r>
          </w:p>
          <w:p>
            <w:pPr>
              <w:pStyle w:val="Normal"/>
              <w:keepNext w:val="true"/>
              <w:keepLines/>
              <w:rPr>
                <w:sz w:val="20"/>
                <w:szCs w:val="20"/>
              </w:rPr>
            </w:pPr>
            <w:r>
              <w:rPr>
                <w:sz w:val="20"/>
                <w:szCs w:val="20"/>
              </w:rPr>
            </w:r>
          </w:p>
          <w:p>
            <w:pPr>
              <w:pStyle w:val="Normal"/>
              <w:keepNext w:val="true"/>
              <w:keepLines/>
              <w:rPr>
                <w:sz w:val="20"/>
                <w:szCs w:val="20"/>
              </w:rPr>
            </w:pPr>
            <w:r>
              <w:rPr>
                <w:sz w:val="20"/>
                <w:szCs w:val="20"/>
              </w:rPr>
            </w:r>
          </w:p>
          <w:p>
            <w:pPr>
              <w:pStyle w:val="Normal"/>
              <w:keepNext w:val="true"/>
              <w:keepLines/>
              <w:rPr>
                <w:sz w:val="20"/>
                <w:szCs w:val="20"/>
              </w:rPr>
            </w:pPr>
            <w:r>
              <w:rPr>
                <w:sz w:val="20"/>
                <w:szCs w:val="20"/>
              </w:rPr>
            </w:r>
          </w:p>
          <w:p>
            <w:pPr>
              <w:pStyle w:val="Normal"/>
              <w:keepNext w:val="true"/>
              <w:keepLines/>
              <w:rPr>
                <w:sz w:val="20"/>
                <w:szCs w:val="20"/>
              </w:rPr>
            </w:pPr>
            <w:r>
              <w:rPr>
                <w:sz w:val="20"/>
                <w:szCs w:val="20"/>
              </w:rPr>
            </w:r>
          </w:p>
          <w:p>
            <w:pPr>
              <w:pStyle w:val="Normal"/>
              <w:keepNext w:val="true"/>
              <w:keepLines/>
              <w:rPr>
                <w:sz w:val="20"/>
                <w:szCs w:val="20"/>
              </w:rPr>
            </w:pPr>
            <w:r>
              <w:rPr>
                <w:sz w:val="20"/>
                <w:szCs w:val="20"/>
              </w:rPr>
            </w:r>
          </w:p>
          <w:p>
            <w:pPr>
              <w:pStyle w:val="Normal"/>
              <w:keepNext w:val="true"/>
              <w:keepLines/>
              <w:rPr>
                <w:sz w:val="20"/>
                <w:szCs w:val="20"/>
              </w:rPr>
            </w:pPr>
            <w:r>
              <w:rPr>
                <w:sz w:val="20"/>
                <w:szCs w:val="20"/>
              </w:rPr>
            </w:r>
          </w:p>
          <w:p>
            <w:pPr>
              <w:pStyle w:val="Normal"/>
              <w:keepNext w:val="true"/>
              <w:keepLines/>
              <w:rPr>
                <w:sz w:val="20"/>
                <w:szCs w:val="20"/>
              </w:rPr>
            </w:pPr>
            <w:r>
              <w:rPr>
                <w:sz w:val="20"/>
                <w:szCs w:val="20"/>
              </w:rPr>
            </w:r>
          </w:p>
          <w:p>
            <w:pPr>
              <w:pStyle w:val="Normal"/>
              <w:keepNext w:val="true"/>
              <w:keepLines/>
              <w:rPr>
                <w:sz w:val="20"/>
                <w:szCs w:val="20"/>
              </w:rPr>
            </w:pPr>
            <w:r>
              <w:rPr>
                <w:sz w:val="20"/>
                <w:szCs w:val="20"/>
              </w:rPr>
            </w:r>
          </w:p>
          <w:p>
            <w:pPr>
              <w:pStyle w:val="Normal"/>
              <w:keepNext w:val="true"/>
              <w:keepLines/>
              <w:rPr>
                <w:sz w:val="20"/>
                <w:szCs w:val="20"/>
              </w:rPr>
            </w:pPr>
            <w:r>
              <w:rPr>
                <w:sz w:val="20"/>
                <w:szCs w:val="20"/>
              </w:rPr>
            </w:r>
          </w:p>
          <w:p>
            <w:pPr>
              <w:pStyle w:val="Normal"/>
              <w:keepNext w:val="true"/>
              <w:keepLines/>
              <w:rPr>
                <w:sz w:val="20"/>
                <w:szCs w:val="20"/>
              </w:rPr>
            </w:pPr>
            <w:r>
              <w:rPr>
                <w:sz w:val="20"/>
                <w:szCs w:val="20"/>
              </w:rPr>
            </w:r>
          </w:p>
          <w:p>
            <w:pPr>
              <w:pStyle w:val="Normal"/>
              <w:keepNext w:val="true"/>
              <w:keepLines/>
              <w:rPr>
                <w:sz w:val="20"/>
                <w:szCs w:val="20"/>
              </w:rPr>
            </w:pPr>
            <w:r>
              <w:rPr>
                <w:sz w:val="20"/>
                <w:szCs w:val="20"/>
              </w:rPr>
            </w:r>
          </w:p>
          <w:p>
            <w:pPr>
              <w:pStyle w:val="Normal"/>
              <w:keepNext w:val="true"/>
              <w:keepLines/>
              <w:rPr>
                <w:sz w:val="20"/>
                <w:szCs w:val="20"/>
              </w:rPr>
            </w:pPr>
            <w:r>
              <w:rPr>
                <w:sz w:val="20"/>
                <w:szCs w:val="20"/>
              </w:rPr>
            </w:r>
          </w:p>
          <w:p>
            <w:pPr>
              <w:pStyle w:val="Normal"/>
              <w:keepNext w:val="true"/>
              <w:keepLines/>
              <w:rPr>
                <w:sz w:val="20"/>
                <w:szCs w:val="20"/>
              </w:rPr>
            </w:pPr>
            <w:r>
              <w:rPr>
                <w:sz w:val="20"/>
                <w:szCs w:val="20"/>
              </w:rPr>
            </w:r>
          </w:p>
          <w:p>
            <w:pPr>
              <w:pStyle w:val="Normal"/>
              <w:keepNext w:val="true"/>
              <w:keepLines/>
              <w:rPr>
                <w:sz w:val="20"/>
                <w:szCs w:val="20"/>
              </w:rPr>
            </w:pPr>
            <w:r>
              <w:rPr>
                <w:sz w:val="20"/>
                <w:szCs w:val="20"/>
              </w:rPr>
            </w:r>
          </w:p>
          <w:p>
            <w:pPr>
              <w:pStyle w:val="Normal"/>
              <w:keepNext w:val="true"/>
              <w:keepLines/>
              <w:rPr>
                <w:sz w:val="20"/>
                <w:szCs w:val="20"/>
              </w:rPr>
            </w:pPr>
            <w:r>
              <w:rPr>
                <w:sz w:val="20"/>
                <w:szCs w:val="20"/>
              </w:rPr>
            </w:r>
          </w:p>
          <w:p>
            <w:pPr>
              <w:pStyle w:val="Normal"/>
              <w:keepNext w:val="true"/>
              <w:keepLines/>
              <w:rPr>
                <w:sz w:val="20"/>
                <w:szCs w:val="20"/>
              </w:rPr>
            </w:pPr>
            <w:r>
              <w:rPr>
                <w:sz w:val="20"/>
                <w:szCs w:val="20"/>
              </w:rPr>
            </w:r>
          </w:p>
          <w:p>
            <w:pPr>
              <w:pStyle w:val="Normal"/>
              <w:keepNext w:val="true"/>
              <w:keepLines/>
              <w:rPr>
                <w:sz w:val="20"/>
                <w:szCs w:val="20"/>
              </w:rPr>
            </w:pPr>
            <w:r>
              <w:rPr>
                <w:sz w:val="20"/>
                <w:szCs w:val="20"/>
              </w:rPr>
            </w:r>
          </w:p>
          <w:p>
            <w:pPr>
              <w:pStyle w:val="Normal"/>
              <w:keepNext w:val="true"/>
              <w:keepLines/>
              <w:rPr>
                <w:sz w:val="20"/>
                <w:szCs w:val="20"/>
              </w:rPr>
            </w:pPr>
            <w:r>
              <w:rPr>
                <w:sz w:val="20"/>
                <w:szCs w:val="20"/>
              </w:rPr>
            </w:r>
          </w:p>
          <w:p>
            <w:pPr>
              <w:pStyle w:val="Normal"/>
              <w:keepNext w:val="true"/>
              <w:keepLines/>
              <w:rPr>
                <w:sz w:val="20"/>
                <w:szCs w:val="20"/>
              </w:rPr>
            </w:pPr>
            <w:r>
              <w:rPr>
                <w:sz w:val="20"/>
                <w:szCs w:val="20"/>
              </w:rPr>
            </w:r>
          </w:p>
          <w:p>
            <w:pPr>
              <w:pStyle w:val="Normal"/>
              <w:keepNext w:val="true"/>
              <w:keepLines/>
              <w:rPr>
                <w:sz w:val="20"/>
                <w:szCs w:val="20"/>
              </w:rPr>
            </w:pPr>
            <w:r>
              <w:rPr>
                <w:sz w:val="20"/>
                <w:szCs w:val="20"/>
              </w:rPr>
            </w:r>
          </w:p>
          <w:p>
            <w:pPr>
              <w:pStyle w:val="Normal"/>
              <w:keepNext w:val="true"/>
              <w:keepLines/>
              <w:rPr>
                <w:sz w:val="20"/>
                <w:szCs w:val="20"/>
              </w:rPr>
            </w:pPr>
            <w:r>
              <w:rPr>
                <w:sz w:val="20"/>
                <w:szCs w:val="20"/>
              </w:rPr>
            </w:r>
          </w:p>
          <w:p>
            <w:pPr>
              <w:pStyle w:val="Normal"/>
              <w:keepNext w:val="true"/>
              <w:keepLines/>
              <w:rPr>
                <w:sz w:val="20"/>
                <w:szCs w:val="20"/>
              </w:rPr>
            </w:pPr>
            <w:r>
              <w:rPr>
                <w:sz w:val="20"/>
                <w:szCs w:val="20"/>
              </w:rPr>
            </w:r>
          </w:p>
          <w:p>
            <w:pPr>
              <w:pStyle w:val="Normal"/>
              <w:keepNext w:val="true"/>
              <w:keepLines/>
              <w:rPr>
                <w:sz w:val="20"/>
                <w:szCs w:val="20"/>
              </w:rPr>
            </w:pPr>
            <w:r>
              <w:rPr>
                <w:sz w:val="20"/>
                <w:szCs w:val="20"/>
              </w:rPr>
            </w:r>
          </w:p>
          <w:p>
            <w:pPr>
              <w:pStyle w:val="Normal"/>
              <w:keepNext w:val="true"/>
              <w:keepLines/>
              <w:rPr>
                <w:sz w:val="20"/>
                <w:szCs w:val="20"/>
              </w:rPr>
            </w:pPr>
            <w:r>
              <w:rPr>
                <w:sz w:val="20"/>
                <w:szCs w:val="20"/>
              </w:rPr>
            </w:r>
          </w:p>
          <w:p>
            <w:pPr>
              <w:pStyle w:val="Normal"/>
              <w:keepNext w:val="true"/>
              <w:keepLines/>
              <w:rPr>
                <w:sz w:val="20"/>
                <w:szCs w:val="20"/>
              </w:rPr>
            </w:pPr>
            <w:r>
              <w:rPr>
                <w:sz w:val="20"/>
                <w:szCs w:val="20"/>
              </w:rPr>
            </w:r>
          </w:p>
          <w:p>
            <w:pPr>
              <w:pStyle w:val="Normal"/>
              <w:keepNext w:val="true"/>
              <w:keepLines/>
              <w:rPr>
                <w:sz w:val="20"/>
                <w:szCs w:val="20"/>
              </w:rPr>
            </w:pPr>
            <w:r>
              <w:rPr>
                <w:sz w:val="20"/>
                <w:szCs w:val="20"/>
              </w:rPr>
            </w:r>
          </w:p>
          <w:p>
            <w:pPr>
              <w:pStyle w:val="Normal"/>
              <w:rPr>
                <w:color w:val="A6A6A6" w:themeColor="background1" w:themeShade="a6"/>
                <w:sz w:val="20"/>
                <w:szCs w:val="20"/>
              </w:rPr>
            </w:pPr>
            <w:r>
              <w:rPr>
                <w:color w:val="A6A6A6" w:themeColor="background1" w:themeShade="a6"/>
                <w:sz w:val="20"/>
                <w:szCs w:val="20"/>
              </w:rPr>
              <w:t>[rúbrica]</w:t>
            </w:r>
          </w:p>
          <w:p>
            <w:pPr>
              <w:pStyle w:val="Normal"/>
              <w:keepNext w:val="true"/>
              <w:keepLines/>
              <w:rPr>
                <w:sz w:val="20"/>
                <w:szCs w:val="20"/>
              </w:rPr>
            </w:pPr>
            <w:r>
              <w:rPr>
                <w:sz w:val="20"/>
                <w:szCs w:val="20"/>
              </w:rPr>
            </w:r>
          </w:p>
          <w:p>
            <w:pPr>
              <w:pStyle w:val="Normal"/>
              <w:keepNext w:val="true"/>
              <w:keepLines/>
              <w:rPr>
                <w:sz w:val="20"/>
                <w:szCs w:val="20"/>
              </w:rPr>
            </w:pPr>
            <w:r>
              <w:rPr>
                <w:sz w:val="20"/>
                <w:szCs w:val="20"/>
              </w:rPr>
            </w:r>
          </w:p>
          <w:p>
            <w:pPr>
              <w:pStyle w:val="Normal"/>
              <w:keepNext w:val="true"/>
              <w:keepLines/>
              <w:rPr>
                <w:sz w:val="20"/>
                <w:szCs w:val="20"/>
              </w:rPr>
            </w:pPr>
            <w:r>
              <w:rPr>
                <w:sz w:val="20"/>
                <w:szCs w:val="20"/>
              </w:rPr>
            </w:r>
          </w:p>
        </w:tc>
      </w:tr>
    </w:tbl>
    <w:p>
      <w:pPr>
        <w:pStyle w:val="Normal"/>
        <w:rPr>
          <w:sz w:val="16"/>
          <w:szCs w:val="16"/>
        </w:rPr>
      </w:pPr>
      <w:r>
        <w:rPr>
          <w:sz w:val="16"/>
          <w:szCs w:val="16"/>
        </w:rPr>
      </w:r>
    </w:p>
    <w:p>
      <w:pPr>
        <w:pStyle w:val="Normal"/>
        <w:rPr/>
      </w:pPr>
      <w:r>
        <w:rPr/>
      </w:r>
      <w:r>
        <w:br w:type="page"/>
      </w:r>
    </w:p>
    <w:tbl>
      <w:tblPr>
        <w:tblStyle w:val="Taulaambquadrcula"/>
        <w:tblW w:w="10988" w:type="dxa"/>
        <w:jc w:val="left"/>
        <w:tblInd w:w="0" w:type="dxa"/>
        <w:tblCellMar>
          <w:top w:w="0" w:type="dxa"/>
          <w:left w:w="108" w:type="dxa"/>
          <w:bottom w:w="0" w:type="dxa"/>
          <w:right w:w="108" w:type="dxa"/>
        </w:tblCellMar>
        <w:tblLook w:val="04a0"/>
      </w:tblPr>
      <w:tblGrid>
        <w:gridCol w:w="10988"/>
      </w:tblGrid>
      <w:tr>
        <w:trPr/>
        <w:tc>
          <w:tcPr>
            <w:tcW w:w="10988" w:type="dxa"/>
            <w:tcBorders>
              <w:top w:val="single" w:sz="18" w:space="0" w:color="000000"/>
              <w:left w:val="single" w:sz="18" w:space="0" w:color="000000"/>
              <w:right w:val="single" w:sz="18" w:space="0" w:color="000000"/>
              <w:insideV w:val="single" w:sz="18" w:space="0" w:color="000000"/>
            </w:tcBorders>
            <w:shd w:fill="auto" w:val="clear"/>
          </w:tcPr>
          <w:p>
            <w:pPr>
              <w:pStyle w:val="Normal"/>
              <w:pageBreakBefore/>
              <w:rPr>
                <w:sz w:val="20"/>
                <w:szCs w:val="20"/>
              </w:rPr>
            </w:pPr>
            <w:r>
              <w:rPr>
                <w:rFonts w:cs="Noto Sans"/>
                <w:b/>
                <w:smallCaps/>
                <w:color w:val="C30045"/>
                <w:sz w:val="20"/>
                <w:szCs w:val="20"/>
              </w:rPr>
              <w:t>Informació sobre protecció de dades personals</w:t>
            </w:r>
          </w:p>
        </w:tc>
      </w:tr>
      <w:tr>
        <w:trPr/>
        <w:tc>
          <w:tcPr>
            <w:tcW w:w="10988" w:type="dxa"/>
            <w:tc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cBorders>
            <w:shd w:fill="auto" w:val="clear"/>
          </w:tcPr>
          <w:p>
            <w:pPr>
              <w:pStyle w:val="Normal"/>
              <w:rPr>
                <w:rFonts w:cs="Noto Sans"/>
                <w:color w:val="000000"/>
                <w:sz w:val="20"/>
                <w:szCs w:val="20"/>
              </w:rPr>
            </w:pPr>
            <w:r>
              <w:rPr>
                <w:rFonts w:cs="Noto Sans"/>
                <w:sz w:val="20"/>
                <w:szCs w:val="20"/>
              </w:rPr>
              <w:t>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legislació vigent en matèria de protecció de dades, s’informa del tractament de dades personals que conté aquest document.</w:t>
            </w:r>
          </w:p>
          <w:p>
            <w:pPr>
              <w:pStyle w:val="Normal"/>
              <w:rPr>
                <w:rFonts w:cs="Noto Sans"/>
                <w:color w:val="000000"/>
                <w:sz w:val="20"/>
                <w:szCs w:val="20"/>
              </w:rPr>
            </w:pPr>
            <w:r>
              <w:rPr>
                <w:rFonts w:cs="Noto Sans"/>
                <w:color w:val="000000"/>
                <w:sz w:val="20"/>
                <w:szCs w:val="20"/>
              </w:rPr>
            </w:r>
          </w:p>
          <w:p>
            <w:pPr>
              <w:pStyle w:val="Normal"/>
              <w:rPr>
                <w:rStyle w:val="Fuentedeprrafopredeter1"/>
                <w:rFonts w:cs="Noto Sans"/>
                <w:color w:val="FF0000"/>
                <w:kern w:val="2"/>
                <w:sz w:val="20"/>
                <w:szCs w:val="20"/>
              </w:rPr>
            </w:pPr>
            <w:r>
              <w:rPr>
                <w:rFonts w:cs="Noto Sans"/>
                <w:b/>
                <w:bCs/>
                <w:color w:val="000000"/>
                <w:sz w:val="20"/>
                <w:szCs w:val="20"/>
              </w:rPr>
              <w:t>Finalitat del tractament i base jurídica.</w:t>
            </w:r>
            <w:r>
              <w:rPr>
                <w:rFonts w:cs="Noto Sans"/>
                <w:color w:val="000000"/>
                <w:sz w:val="20"/>
                <w:szCs w:val="20"/>
              </w:rPr>
              <w:t xml:space="preserve"> Tramitació del procediment administratiu de convocatòria d’ajuts destinats als mitjans de comunicació en llengua catalana a les Illes Balears, d’acord amb la Llei</w:t>
            </w:r>
            <w:r>
              <w:rPr>
                <w:rStyle w:val="Fuentedeprrafopredeter1"/>
                <w:rFonts w:cs="Noto Sans"/>
                <w:color w:val="000000"/>
                <w:kern w:val="2"/>
                <w:sz w:val="20"/>
                <w:szCs w:val="20"/>
              </w:rPr>
              <w:t> </w:t>
            </w:r>
            <w:r>
              <w:rPr>
                <w:rFonts w:cs="Noto Sans"/>
                <w:color w:val="000000"/>
                <w:sz w:val="20"/>
                <w:szCs w:val="20"/>
              </w:rPr>
              <w:t xml:space="preserve">38/2003, de 17 de novembre, general de subvencions; </w:t>
            </w:r>
            <w:r>
              <w:rPr>
                <w:rStyle w:val="Fuentedeprrafopredeter1"/>
                <w:rFonts w:cs="Noto Sans"/>
                <w:color w:val="000000"/>
                <w:kern w:val="2"/>
                <w:sz w:val="20"/>
                <w:szCs w:val="20"/>
              </w:rPr>
              <w:t>el Decret legislatiu 2/2005, de 28 de desembre, pel qual s’aprova el Text refós de la Llei de subvencions, i el Reial decret 887/2006, de 21 de juliol, pel qual s’aprova el Reglament de la Llei 38/2003, de 17 de novembre, general de subvencions.</w:t>
            </w:r>
          </w:p>
          <w:p>
            <w:pPr>
              <w:pStyle w:val="Normal"/>
              <w:rPr>
                <w:rStyle w:val="Fuentedeprrafopredeter1"/>
                <w:color w:val="000000"/>
              </w:rPr>
            </w:pPr>
            <w:r>
              <w:rPr>
                <w:rFonts w:cs="Noto Sans"/>
                <w:kern w:val="2"/>
                <w:sz w:val="20"/>
                <w:szCs w:val="20"/>
              </w:rPr>
            </w:r>
          </w:p>
          <w:p>
            <w:pPr>
              <w:pStyle w:val="Normal"/>
              <w:rPr>
                <w:color w:val="FF0000"/>
                <w:sz w:val="20"/>
                <w:szCs w:val="20"/>
              </w:rPr>
            </w:pPr>
            <w:r>
              <w:rPr>
                <w:rFonts w:cs="Noto Sans"/>
                <w:b/>
                <w:bCs/>
                <w:color w:val="000000"/>
                <w:sz w:val="20"/>
                <w:szCs w:val="20"/>
              </w:rPr>
              <w:t>Responsable del tractament:</w:t>
            </w:r>
            <w:r>
              <w:rPr>
                <w:rFonts w:cs="Noto Sans"/>
                <w:color w:val="000000"/>
                <w:sz w:val="20"/>
                <w:szCs w:val="20"/>
              </w:rPr>
              <w:t xml:space="preserve"> </w:t>
            </w:r>
            <w:r>
              <w:rPr>
                <w:color w:val="000000"/>
                <w:sz w:val="20"/>
                <w:szCs w:val="20"/>
              </w:rPr>
              <w:t xml:space="preserve">Institut d’Estudis Baleàrics </w:t>
            </w:r>
            <w:r>
              <w:rPr>
                <w:color w:val="000000"/>
                <w:sz w:val="20"/>
                <w:szCs w:val="20"/>
              </w:rPr>
              <w:t>(c. de l’Almudaina, 4, Palma)</w:t>
            </w:r>
          </w:p>
          <w:p>
            <w:pPr>
              <w:pStyle w:val="Normal"/>
              <w:rPr>
                <w:rFonts w:cs="Noto Sans"/>
                <w:color w:val="000000"/>
                <w:sz w:val="20"/>
                <w:szCs w:val="20"/>
              </w:rPr>
            </w:pPr>
            <w:r>
              <w:rPr>
                <w:rFonts w:cs="Noto Sans"/>
                <w:color w:val="000000"/>
                <w:sz w:val="20"/>
                <w:szCs w:val="20"/>
              </w:rPr>
            </w:r>
          </w:p>
          <w:p>
            <w:pPr>
              <w:pStyle w:val="NormalWeb"/>
              <w:spacing w:lineRule="auto" w:line="240" w:beforeAutospacing="0" w:before="0" w:after="0"/>
              <w:rPr>
                <w:color w:val="FF0000"/>
                <w:lang w:val="ca-ES"/>
              </w:rPr>
            </w:pPr>
            <w:r>
              <w:rPr>
                <w:rFonts w:eastAsia="Calibri" w:cs="Noto Sans" w:ascii="Noto Sans" w:hAnsi="Noto Sans"/>
                <w:b/>
                <w:bCs/>
                <w:color w:val="000000"/>
                <w:sz w:val="20"/>
                <w:szCs w:val="20"/>
                <w:lang w:val="ca-ES" w:eastAsia="en-US"/>
              </w:rPr>
              <w:t xml:space="preserve">Destinataris de les dades personals. </w:t>
            </w:r>
            <w:r>
              <w:rPr>
                <w:rFonts w:eastAsia="Calibri" w:cs="Noto Sans" w:ascii="Noto Sans" w:hAnsi="Noto Sans"/>
                <w:bCs/>
                <w:color w:val="000000"/>
                <w:sz w:val="20"/>
                <w:szCs w:val="20"/>
                <w:lang w:val="ca-ES" w:eastAsia="en-US"/>
              </w:rPr>
              <w:t>L</w:t>
            </w:r>
            <w:r>
              <w:rPr>
                <w:rFonts w:ascii="Noto Sans" w:hAnsi="Noto Sans"/>
                <w:color w:val="000000"/>
                <w:sz w:val="20"/>
                <w:szCs w:val="20"/>
                <w:lang w:val="ca-ES"/>
              </w:rPr>
              <w:t>es persones o les unitats administratives de l’Institut d'Estudis Baleàrics que hagin d’intervenir en la tramitació de la convocatòria d’ajuts als mitjans de comunicació en llengua catalana. En cas de reclamació, també es podran cedir les dades a l’òrgan autonòmic al qual correspongui conèixer-les, i als jutges i tribunals en cas que s’interposi un recurs contenciós administratiu, així com al Defensor del Poble i a qualsevol òrgan o ens que sol·liciti les dades en l’exercici de les seves competències.</w:t>
            </w:r>
          </w:p>
          <w:p>
            <w:pPr>
              <w:pStyle w:val="Normal"/>
              <w:rPr>
                <w:rFonts w:cs="Noto Sans"/>
                <w:color w:val="000000"/>
                <w:sz w:val="20"/>
                <w:szCs w:val="20"/>
              </w:rPr>
            </w:pPr>
            <w:r>
              <w:rPr>
                <w:rFonts w:cs="Noto Sans"/>
                <w:color w:val="000000"/>
                <w:sz w:val="20"/>
                <w:szCs w:val="20"/>
              </w:rPr>
            </w:r>
          </w:p>
          <w:p>
            <w:pPr>
              <w:pStyle w:val="Normal"/>
              <w:rPr>
                <w:rFonts w:cs="Noto Sans"/>
                <w:color w:val="FF0000"/>
                <w:sz w:val="20"/>
                <w:szCs w:val="20"/>
              </w:rPr>
            </w:pPr>
            <w:r>
              <w:rPr>
                <w:rFonts w:cs="Noto Sans"/>
                <w:b/>
                <w:bCs/>
                <w:color w:val="000000"/>
                <w:sz w:val="20"/>
                <w:szCs w:val="20"/>
              </w:rPr>
              <w:t>Termini de conservació de les dades personals.</w:t>
            </w:r>
            <w:r>
              <w:rPr>
                <w:rFonts w:cs="Noto Sans"/>
                <w:color w:val="000000"/>
                <w:sz w:val="20"/>
                <w:szCs w:val="20"/>
              </w:rPr>
              <w:t xml:space="preserve"> </w:t>
            </w:r>
            <w:r>
              <w:rPr>
                <w:color w:val="000000"/>
                <w:sz w:val="20"/>
                <w:szCs w:val="20"/>
              </w:rPr>
              <w:t>Les dades es conservaran el temps necessari per complir la finalitat per a qual es demanen i per determinar les possibles responsabilitat que es puguin derivar d’aquesta finalitat i del tractament de les dades. En aquest cas és aplicable el que disposa la normativa d’arxius i documentació.</w:t>
            </w:r>
          </w:p>
          <w:p>
            <w:pPr>
              <w:pStyle w:val="Normal"/>
              <w:rPr>
                <w:rFonts w:cs="Noto Sans"/>
                <w:color w:val="000000"/>
                <w:sz w:val="20"/>
                <w:szCs w:val="20"/>
              </w:rPr>
            </w:pPr>
            <w:r>
              <w:rPr>
                <w:rFonts w:cs="Noto Sans"/>
                <w:color w:val="000000"/>
                <w:sz w:val="20"/>
                <w:szCs w:val="20"/>
              </w:rPr>
            </w:r>
          </w:p>
          <w:p>
            <w:pPr>
              <w:pStyle w:val="Normal"/>
              <w:rPr>
                <w:rFonts w:cs="Noto Sans"/>
                <w:sz w:val="20"/>
                <w:szCs w:val="20"/>
              </w:rPr>
            </w:pPr>
            <w:r>
              <w:rPr>
                <w:rFonts w:cs="Noto Sans"/>
                <w:b/>
                <w:sz w:val="20"/>
                <w:szCs w:val="20"/>
              </w:rPr>
              <w:t>Exercici de drets i reclamacions</w:t>
            </w:r>
            <w:r>
              <w:rPr>
                <w:rFonts w:cs="Noto Sans"/>
                <w:b/>
                <w:bCs/>
                <w:sz w:val="20"/>
                <w:szCs w:val="20"/>
              </w:rPr>
              <w:t>.</w:t>
            </w:r>
            <w:r>
              <w:rPr>
                <w:rFonts w:cs="Noto Sans"/>
                <w:sz w:val="20"/>
                <w:szCs w:val="20"/>
              </w:rPr>
              <w:t xml:space="preserve"> La persona afectada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mitjançant el procediment «Sol·licitud d’exercici de drets en matèria de protecció de dades personals», previst a la Seu Electrònica de la CAIB (</w:t>
            </w:r>
            <w:r>
              <w:rPr>
                <w:rFonts w:cs="Noto Sans"/>
                <w:i/>
                <w:sz w:val="20"/>
                <w:szCs w:val="20"/>
              </w:rPr>
              <w:t>seuelectronica.caib.es</w:t>
            </w:r>
            <w:r>
              <w:rPr>
                <w:rFonts w:cs="Noto Sans"/>
                <w:sz w:val="20"/>
                <w:szCs w:val="20"/>
              </w:rPr>
              <w:t>).</w:t>
            </w:r>
          </w:p>
          <w:p>
            <w:pPr>
              <w:pStyle w:val="Normal"/>
              <w:rPr>
                <w:rFonts w:cs="Noto Sans"/>
                <w:sz w:val="20"/>
                <w:szCs w:val="20"/>
              </w:rPr>
            </w:pPr>
            <w:r>
              <w:rPr>
                <w:rFonts w:cs="Noto Sans"/>
                <w:sz w:val="20"/>
                <w:szCs w:val="20"/>
              </w:rPr>
            </w:r>
          </w:p>
          <w:p>
            <w:pPr>
              <w:pStyle w:val="NormalWeb"/>
              <w:spacing w:beforeAutospacing="0" w:before="0" w:after="0"/>
              <w:rPr>
                <w:rFonts w:ascii="Noto Sans" w:hAnsi="Noto Sans"/>
                <w:sz w:val="20"/>
                <w:szCs w:val="20"/>
                <w:lang w:val="ca-ES"/>
              </w:rPr>
            </w:pPr>
            <w:r>
              <w:rPr>
                <w:rFonts w:ascii="Noto Sans" w:hAnsi="Noto Sans"/>
                <w:sz w:val="20"/>
                <w:szCs w:val="20"/>
                <w:lang w:val="ca-ES"/>
              </w:rPr>
              <w:t>Una vegada rebuda la resposta del responsable o en el cas que no hi hagi resposta en el termini d’un mes, la persona afectada pel tractament de les dades personals pot presentar la «Reclamació de tutela de drets» davant l’Agència Espanyola de Protecció de Dades.</w:t>
            </w:r>
          </w:p>
          <w:p>
            <w:pPr>
              <w:pStyle w:val="NormalWeb"/>
              <w:spacing w:lineRule="auto" w:line="240" w:beforeAutospacing="0" w:before="0" w:after="0"/>
              <w:rPr>
                <w:rFonts w:ascii="Noto Sans" w:hAnsi="Noto Sans"/>
                <w:color w:val="FF0000"/>
                <w:sz w:val="20"/>
                <w:szCs w:val="20"/>
                <w:lang w:val="ca-ES"/>
                <w:del w:id="3" w:author="Autoria desconeguda" w:date="2025-02-20T13:14:08Z"/>
              </w:rPr>
            </w:pPr>
            <w:del w:id="2" w:author="Autoria desconeguda" w:date="2025-02-20T13:14:08Z">
              <w:r>
                <w:rPr>
                  <w:rFonts w:ascii="Noto Sans" w:hAnsi="Noto Sans"/>
                  <w:color w:val="FF0000"/>
                  <w:sz w:val="20"/>
                  <w:szCs w:val="20"/>
                  <w:lang w:val="ca-ES"/>
                </w:rPr>
              </w:r>
            </w:del>
          </w:p>
          <w:p>
            <w:pPr>
              <w:pStyle w:val="NormalWeb"/>
              <w:spacing w:lineRule="auto" w:line="240" w:beforeAutospacing="0" w:before="0" w:after="0"/>
              <w:rPr>
                <w:rFonts w:ascii="Noto Sans" w:hAnsi="Noto Sans"/>
                <w:color w:val="FF0000"/>
                <w:sz w:val="20"/>
                <w:szCs w:val="20"/>
                <w:lang w:val="ca-ES"/>
              </w:rPr>
            </w:pPr>
            <w:r>
              <w:rPr>
                <w:rFonts w:ascii="Noto Sans" w:hAnsi="Noto Sans"/>
                <w:color w:val="FF0000"/>
                <w:sz w:val="20"/>
                <w:szCs w:val="20"/>
                <w:lang w:val="ca-ES"/>
              </w:rPr>
            </w:r>
          </w:p>
          <w:p>
            <w:pPr>
              <w:pStyle w:val="Normal"/>
              <w:rPr/>
            </w:pPr>
            <w:r>
              <w:rPr>
                <w:rFonts w:cs="Noto Sans"/>
                <w:b/>
                <w:sz w:val="20"/>
                <w:szCs w:val="20"/>
              </w:rPr>
              <w:t>Delegació de Protecció de Dades</w:t>
            </w:r>
            <w:r>
              <w:rPr>
                <w:rFonts w:cs="Noto Sans"/>
                <w:b/>
                <w:bCs/>
                <w:sz w:val="20"/>
                <w:szCs w:val="20"/>
              </w:rPr>
              <w:t>.</w:t>
            </w:r>
            <w:r>
              <w:rPr>
                <w:rFonts w:cs="Noto Sans"/>
                <w:sz w:val="20"/>
                <w:szCs w:val="20"/>
              </w:rPr>
              <w:t xml:space="preserve"> La Delegació de Protecció de Dades de l’Administració de la Comunitat Autònoma de les Illes Balears té la seu a la Conselleria de Presidèn</w:t>
            </w:r>
            <w:r>
              <w:rPr>
                <w:rFonts w:cs="Noto Sans"/>
                <w:color w:val="000000"/>
                <w:sz w:val="20"/>
                <w:szCs w:val="20"/>
              </w:rPr>
              <w:t xml:space="preserve">cia </w:t>
            </w:r>
            <w:r>
              <w:rPr>
                <w:rFonts w:cs="Noto Sans"/>
                <w:color w:val="000000"/>
                <w:sz w:val="20"/>
                <w:szCs w:val="20"/>
              </w:rPr>
              <w:t>i Administracions Públiques</w:t>
            </w:r>
            <w:r>
              <w:rPr>
                <w:rFonts w:cs="Noto Sans"/>
                <w:color w:val="000000"/>
                <w:sz w:val="20"/>
                <w:szCs w:val="20"/>
              </w:rPr>
              <w:t xml:space="preserve"> (pg.</w:t>
            </w:r>
            <w:r>
              <w:rPr>
                <w:rFonts w:cs="Noto Sans"/>
                <w:sz w:val="20"/>
                <w:szCs w:val="20"/>
              </w:rPr>
              <w:t xml:space="preserve"> de Sagrera, 2, 07012 Palma; a/e: </w:t>
            </w:r>
            <w:r>
              <w:rPr>
                <w:rFonts w:cs="Noto Sans"/>
                <w:i/>
                <w:sz w:val="20"/>
                <w:szCs w:val="20"/>
              </w:rPr>
              <w:t>protecciodades@dpd.caib.es</w:t>
            </w:r>
            <w:r>
              <w:rPr>
                <w:rFonts w:cs="Noto Sans"/>
                <w:sz w:val="20"/>
                <w:szCs w:val="20"/>
              </w:rPr>
              <w:t>).</w:t>
            </w:r>
          </w:p>
          <w:p>
            <w:pPr>
              <w:pStyle w:val="Normal"/>
              <w:rPr>
                <w:rFonts w:cs="Noto Sans"/>
                <w:b/>
                <w:b/>
                <w:i/>
                <w:i/>
                <w:smallCaps/>
                <w:color w:val="C30045"/>
                <w:sz w:val="20"/>
                <w:szCs w:val="20"/>
              </w:rPr>
            </w:pPr>
            <w:r>
              <w:rPr/>
            </w:r>
          </w:p>
        </w:tc>
      </w:tr>
    </w:tbl>
    <w:p>
      <w:pPr>
        <w:pStyle w:val="Normal"/>
        <w:rPr>
          <w:rFonts w:ascii="Cambria" w:hAnsi="Cambria" w:eastAsia="Times New Roman" w:cs="" w:asciiTheme="majorHAnsi" w:cstheme="majorBidi" w:hAnsiTheme="majorHAnsi"/>
          <w:b/>
          <w:b/>
          <w:bCs/>
        </w:rPr>
      </w:pPr>
      <w:r>
        <w:rPr>
          <w:rFonts w:eastAsia="Times New Roman" w:cs="" w:cstheme="majorBidi" w:ascii="Cambria" w:hAnsi="Cambria"/>
          <w:b/>
          <w:bCs/>
        </w:rPr>
      </w:r>
    </w:p>
    <w:p>
      <w:pPr>
        <w:pStyle w:val="Normal"/>
        <w:rPr>
          <w:rFonts w:ascii="Cambria" w:hAnsi="Cambria" w:eastAsia="Times New Roman" w:cs="" w:asciiTheme="majorHAnsi" w:cstheme="majorBidi" w:hAnsiTheme="majorHAnsi"/>
          <w:b/>
          <w:b/>
          <w:bCs/>
        </w:rPr>
      </w:pPr>
      <w:r>
        <w:rPr>
          <w:rFonts w:eastAsia="Times New Roman" w:cs="" w:cstheme="majorBidi" w:ascii="Cambria" w:hAnsi="Cambria"/>
          <w:b/>
          <w:bCs/>
        </w:rPr>
      </w:r>
    </w:p>
    <w:p>
      <w:pPr>
        <w:pStyle w:val="Normal"/>
        <w:rPr>
          <w:sz w:val="20"/>
          <w:szCs w:val="20"/>
        </w:rPr>
      </w:pPr>
      <w:del w:id="4" w:author="Autoria desconeguda" w:date="2025-02-20T13:14:19Z">
        <w:r>
          <w:rPr>
            <w:sz w:val="20"/>
            <w:szCs w:val="20"/>
          </w:rPr>
        </w:r>
      </w:del>
    </w:p>
    <w:p>
      <w:pPr>
        <w:pStyle w:val="Normal"/>
        <w:rPr>
          <w:sz w:val="20"/>
          <w:szCs w:val="20"/>
        </w:rPr>
      </w:pPr>
      <w:del w:id="5" w:author="Autoria desconeguda" w:date="2025-02-20T13:14:19Z">
        <w:r>
          <w:rPr>
            <w:sz w:val="20"/>
            <w:szCs w:val="20"/>
          </w:rPr>
        </w:r>
      </w:del>
    </w:p>
    <w:p>
      <w:pPr>
        <w:pStyle w:val="Normal"/>
        <w:rPr>
          <w:sz w:val="20"/>
          <w:szCs w:val="20"/>
        </w:rPr>
      </w:pPr>
      <w:del w:id="6" w:author="Autoria desconeguda" w:date="2025-02-20T13:14:19Z">
        <w:r>
          <w:rPr>
            <w:sz w:val="20"/>
            <w:szCs w:val="20"/>
          </w:rPr>
        </w:r>
      </w:del>
    </w:p>
    <w:p>
      <w:pPr>
        <w:pStyle w:val="Normal"/>
        <w:rPr>
          <w:sz w:val="20"/>
          <w:szCs w:val="20"/>
        </w:rPr>
      </w:pPr>
      <w:r>
        <w:rPr>
          <w:sz w:val="20"/>
          <w:szCs w:val="20"/>
        </w:rPr>
      </w:r>
    </w:p>
    <w:p>
      <w:pPr>
        <w:pStyle w:val="Normal"/>
        <w:rPr>
          <w:sz w:val="20"/>
          <w:szCs w:val="20"/>
        </w:rPr>
      </w:pPr>
      <w:r>
        <w:rPr>
          <w:sz w:val="20"/>
          <w:szCs w:val="20"/>
        </w:rPr>
      </w:r>
    </w:p>
    <w:p>
      <w:pPr>
        <w:pStyle w:val="Normal"/>
        <w:rPr>
          <w:sz w:val="20"/>
          <w:szCs w:val="20"/>
        </w:rPr>
      </w:pPr>
      <w:r>
        <w:rPr>
          <w:sz w:val="20"/>
          <w:szCs w:val="20"/>
        </w:rPr>
      </w:r>
    </w:p>
    <w:p>
      <w:pPr>
        <w:pStyle w:val="Normal"/>
        <w:rPr>
          <w:sz w:val="20"/>
          <w:szCs w:val="20"/>
        </w:rPr>
      </w:pPr>
      <w:r>
        <w:rPr>
          <w:sz w:val="20"/>
          <w:szCs w:val="20"/>
        </w:rPr>
        <w:t>..................................., ...... d............................... de 20......</w:t>
      </w:r>
    </w:p>
    <w:p>
      <w:pPr>
        <w:pStyle w:val="Normal"/>
        <w:rPr>
          <w:color w:val="A6A6A6" w:themeColor="background1" w:themeShade="a6"/>
          <w:sz w:val="20"/>
          <w:szCs w:val="20"/>
        </w:rPr>
      </w:pPr>
      <w:r>
        <w:rPr>
          <w:color w:val="A6A6A6" w:themeColor="background1" w:themeShade="a6"/>
          <w:sz w:val="20"/>
          <w:szCs w:val="20"/>
        </w:rPr>
      </w:r>
    </w:p>
    <w:p>
      <w:pPr>
        <w:pStyle w:val="Normal"/>
        <w:rPr>
          <w:color w:val="A6A6A6" w:themeColor="background1" w:themeShade="a6"/>
          <w:ins w:id="8" w:author="Autoria desconeguda" w:date="2025-02-20T13:14:21Z"/>
          <w:sz w:val="20"/>
          <w:szCs w:val="20"/>
        </w:rPr>
      </w:pPr>
      <w:ins w:id="7" w:author="Autoria desconeguda" w:date="2025-02-20T13:14:21Z">
        <w:r>
          <w:rPr/>
        </w:r>
      </w:ins>
    </w:p>
    <w:p>
      <w:pPr>
        <w:pStyle w:val="Normal"/>
        <w:rPr>
          <w:color w:val="A6A6A6" w:themeColor="background1" w:themeShade="a6"/>
          <w:sz w:val="20"/>
          <w:szCs w:val="20"/>
        </w:rPr>
      </w:pPr>
      <w:r>
        <w:rPr>
          <w:color w:val="A6A6A6" w:themeColor="background1" w:themeShade="a6"/>
          <w:sz w:val="20"/>
          <w:szCs w:val="20"/>
        </w:rPr>
        <w:t>[rúbrica]</w:t>
      </w:r>
    </w:p>
    <w:p>
      <w:pPr>
        <w:pStyle w:val="Normal"/>
        <w:rPr/>
      </w:pPr>
      <w:r>
        <w:rPr/>
      </w:r>
    </w:p>
    <w:sectPr>
      <w:headerReference w:type="default" r:id="rId2"/>
      <w:headerReference w:type="first" r:id="rId3"/>
      <w:type w:val="nextPage"/>
      <w:pgSz w:w="11906" w:h="16838"/>
      <w:pgMar w:left="567" w:right="567" w:header="0" w:top="284" w:footer="0" w:bottom="284" w:gutter="0"/>
      <w:pgNumType w:fmt="decimal"/>
      <w:formProt w:val="false"/>
      <w:titlePg/>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Noto Sans">
    <w:charset w:val="00"/>
    <w:family w:val="roman"/>
    <w:pitch w:val="variable"/>
  </w:font>
  <w:font w:name="Cambria">
    <w:charset w:val="00"/>
    <w:family w:val="roman"/>
    <w:pitch w:val="variable"/>
  </w:font>
  <w:font w:name="Tahoma">
    <w:charset w:val="00"/>
    <w:family w:val="roman"/>
    <w:pitch w:val="variable"/>
  </w:font>
  <w:font w:name="Liberation Sans">
    <w:altName w:val="Arial"/>
    <w:charset w:val="00"/>
    <w:family w:val="roman"/>
    <w:pitch w:val="variable"/>
  </w:font>
  <w:font w:name="Legacy Sans ITC">
    <w:charset w:val="00"/>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palera"/>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palera"/>
      <w:rPr/>
    </w:pPr>
    <w:r>
      <w:rPr/>
      <w:drawing>
        <wp:anchor behindDoc="1" distT="0" distB="0" distL="133350" distR="114300" simplePos="0" locked="0" layoutInCell="1" allowOverlap="1" relativeHeight="2">
          <wp:simplePos x="0" y="0"/>
          <wp:positionH relativeFrom="column">
            <wp:posOffset>2034540</wp:posOffset>
          </wp:positionH>
          <wp:positionV relativeFrom="paragraph">
            <wp:posOffset>3003550</wp:posOffset>
          </wp:positionV>
          <wp:extent cx="2802890" cy="4272280"/>
          <wp:effectExtent l="0" t="0" r="0" b="0"/>
          <wp:wrapNone/>
          <wp:docPr id="1"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lowerLetter"/>
      <w:lvlText w:val="%1)"/>
      <w:lvlJc w:val="left"/>
      <w:pPr>
        <w:ind w:left="360" w:hanging="360"/>
      </w:pPr>
      <w:rPr>
        <w:sz w:val="20"/>
        <w:i/>
        <w:b w:val="false"/>
        <w:szCs w:val="20"/>
        <w:rFonts w:eastAsia="Symbol" w:cs="Noto Sans"/>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20"/>
  <w:trackRevisions/>
  <w:defaultTabStop w:val="708"/>
  <w:compat/>
  <w:themeFontLang w:val="es-ES" w:eastAsia="ja-JP"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imes New Roman"/>
        <w:lang w:val="es-ES" w:eastAsia="es-E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0"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a1131e"/>
    <w:pPr>
      <w:widowControl/>
      <w:bidi w:val="0"/>
      <w:jc w:val="left"/>
    </w:pPr>
    <w:rPr>
      <w:rFonts w:ascii="Noto Sans" w:hAnsi="Noto Sans" w:eastAsia="Calibri" w:cs="Times New Roman"/>
      <w:color w:val="auto"/>
      <w:kern w:val="0"/>
      <w:sz w:val="22"/>
      <w:szCs w:val="22"/>
      <w:lang w:val="ca-ES" w:eastAsia="en-US" w:bidi="ar-SA"/>
    </w:rPr>
  </w:style>
  <w:style w:type="paragraph" w:styleId="Encapalament1">
    <w:name w:val="Heading 1"/>
    <w:basedOn w:val="Normal"/>
    <w:next w:val="Normal"/>
    <w:link w:val="Ttol1Car"/>
    <w:qFormat/>
    <w:rsid w:val="00170f49"/>
    <w:pPr>
      <w:keepNext w:val="true"/>
      <w:outlineLvl w:val="0"/>
    </w:pPr>
    <w:rPr>
      <w:rFonts w:ascii="Times New Roman" w:hAnsi="Times New Roman" w:eastAsia="Times New Roman"/>
      <w:b/>
      <w:bCs/>
      <w:sz w:val="24"/>
      <w:szCs w:val="24"/>
      <w:lang w:val="es-ES" w:eastAsia="es-ES"/>
    </w:rPr>
  </w:style>
  <w:style w:type="paragraph" w:styleId="Encapalament3">
    <w:name w:val="Heading 3"/>
    <w:basedOn w:val="Normal"/>
    <w:next w:val="Normal"/>
    <w:link w:val="Ttol3Car"/>
    <w:uiPriority w:val="9"/>
    <w:semiHidden/>
    <w:unhideWhenUsed/>
    <w:qFormat/>
    <w:rsid w:val="00170f49"/>
    <w:pPr>
      <w:keepNext w:val="true"/>
      <w:keepLines/>
      <w:spacing w:before="200" w:after="0"/>
      <w:outlineLvl w:val="2"/>
    </w:pPr>
    <w:rPr>
      <w:rFonts w:ascii="Cambria" w:hAnsi="Cambria" w:eastAsia="ＭＳ ゴシック" w:cs="" w:asciiTheme="majorHAnsi" w:cstheme="majorBidi" w:eastAsiaTheme="majorEastAsia" w:hAnsiTheme="majorHAnsi"/>
      <w:b/>
      <w:bCs/>
      <w:color w:val="4F81BD" w:themeColor="accent1"/>
    </w:rPr>
  </w:style>
  <w:style w:type="character" w:styleId="DefaultParagraphFont" w:default="1">
    <w:name w:val="Default Paragraph Font"/>
    <w:uiPriority w:val="1"/>
    <w:semiHidden/>
    <w:unhideWhenUsed/>
    <w:qFormat/>
    <w:rPr/>
  </w:style>
  <w:style w:type="character" w:styleId="CapaleraCar" w:customStyle="1">
    <w:name w:val="Capçalera Car"/>
    <w:basedOn w:val="DefaultParagraphFont"/>
    <w:link w:val="Capalera"/>
    <w:uiPriority w:val="99"/>
    <w:qFormat/>
    <w:rsid w:val="00eb710b"/>
    <w:rPr>
      <w:rFonts w:ascii="Noto Sans" w:hAnsi="Noto Sans"/>
      <w:lang w:val="ca-ES"/>
    </w:rPr>
  </w:style>
  <w:style w:type="character" w:styleId="PeuCar" w:customStyle="1">
    <w:name w:val="Peu Car"/>
    <w:basedOn w:val="DefaultParagraphFont"/>
    <w:link w:val="Peu"/>
    <w:uiPriority w:val="99"/>
    <w:qFormat/>
    <w:rsid w:val="00eb710b"/>
    <w:rPr>
      <w:rFonts w:ascii="Noto Sans" w:hAnsi="Noto Sans"/>
      <w:lang w:val="ca-ES"/>
    </w:rPr>
  </w:style>
  <w:style w:type="character" w:styleId="TextdeglobusCar" w:customStyle="1">
    <w:name w:val="Text de globus Car"/>
    <w:basedOn w:val="DefaultParagraphFont"/>
    <w:link w:val="Textdeglobus"/>
    <w:uiPriority w:val="99"/>
    <w:semiHidden/>
    <w:qFormat/>
    <w:rsid w:val="00ce2763"/>
    <w:rPr>
      <w:rFonts w:ascii="Tahoma" w:hAnsi="Tahoma" w:cs="Tahoma"/>
      <w:sz w:val="16"/>
      <w:szCs w:val="16"/>
      <w:lang w:val="ca-ES"/>
    </w:rPr>
  </w:style>
  <w:style w:type="character" w:styleId="Annotationreference">
    <w:name w:val="annotation reference"/>
    <w:basedOn w:val="DefaultParagraphFont"/>
    <w:uiPriority w:val="99"/>
    <w:semiHidden/>
    <w:unhideWhenUsed/>
    <w:qFormat/>
    <w:rsid w:val="00fa6794"/>
    <w:rPr>
      <w:sz w:val="16"/>
      <w:szCs w:val="16"/>
    </w:rPr>
  </w:style>
  <w:style w:type="character" w:styleId="TextdecomentariCar" w:customStyle="1">
    <w:name w:val="Text de comentari Car"/>
    <w:basedOn w:val="DefaultParagraphFont"/>
    <w:link w:val="Textdecomentari"/>
    <w:uiPriority w:val="99"/>
    <w:semiHidden/>
    <w:qFormat/>
    <w:rsid w:val="00fa6794"/>
    <w:rPr>
      <w:rFonts w:ascii="Noto Sans" w:hAnsi="Noto Sans"/>
      <w:lang w:val="ca-ES" w:eastAsia="en-US"/>
    </w:rPr>
  </w:style>
  <w:style w:type="character" w:styleId="TemadelcomentariCar" w:customStyle="1">
    <w:name w:val="Tema del comentari Car"/>
    <w:basedOn w:val="TextdecomentariCar"/>
    <w:link w:val="Temadelcomentari"/>
    <w:uiPriority w:val="99"/>
    <w:semiHidden/>
    <w:qFormat/>
    <w:rsid w:val="00fa6794"/>
    <w:rPr>
      <w:rFonts w:ascii="Noto Sans" w:hAnsi="Noto Sans"/>
      <w:b/>
      <w:bCs/>
      <w:lang w:val="ca-ES" w:eastAsia="en-US"/>
    </w:rPr>
  </w:style>
  <w:style w:type="character" w:styleId="Ttol1Car" w:customStyle="1">
    <w:name w:val="Títol 1 Car"/>
    <w:basedOn w:val="DefaultParagraphFont"/>
    <w:link w:val="Ttol1"/>
    <w:qFormat/>
    <w:rsid w:val="00170f49"/>
    <w:rPr>
      <w:rFonts w:ascii="Times New Roman" w:hAnsi="Times New Roman" w:eastAsia="Times New Roman"/>
      <w:b/>
      <w:bCs/>
      <w:sz w:val="24"/>
      <w:szCs w:val="24"/>
    </w:rPr>
  </w:style>
  <w:style w:type="character" w:styleId="EnlladInternet">
    <w:name w:val="Enllaç d'Internet"/>
    <w:basedOn w:val="DefaultParagraphFont"/>
    <w:uiPriority w:val="99"/>
    <w:unhideWhenUsed/>
    <w:rsid w:val="00170f49"/>
    <w:rPr>
      <w:color w:val="0000FF"/>
      <w:u w:val="single"/>
    </w:rPr>
  </w:style>
  <w:style w:type="character" w:styleId="TextdenotaalfinalCar" w:customStyle="1">
    <w:name w:val="Text de nota al final Car"/>
    <w:basedOn w:val="DefaultParagraphFont"/>
    <w:link w:val="Textdenotaalfinal"/>
    <w:uiPriority w:val="99"/>
    <w:qFormat/>
    <w:rsid w:val="00170f49"/>
    <w:rPr>
      <w:rFonts w:ascii="Times New Roman" w:hAnsi="Times New Roman" w:eastAsia="Times New Roman"/>
    </w:rPr>
  </w:style>
  <w:style w:type="character" w:styleId="Ncoradenotafinal">
    <w:name w:val="Àncora de nota final"/>
    <w:rPr>
      <w:vertAlign w:val="superscript"/>
    </w:rPr>
  </w:style>
  <w:style w:type="character" w:styleId="EndnoteCharacters">
    <w:name w:val="Endnote Characters"/>
    <w:basedOn w:val="DefaultParagraphFont"/>
    <w:uiPriority w:val="99"/>
    <w:semiHidden/>
    <w:unhideWhenUsed/>
    <w:qFormat/>
    <w:rsid w:val="00170f49"/>
    <w:rPr>
      <w:vertAlign w:val="superscript"/>
    </w:rPr>
  </w:style>
  <w:style w:type="character" w:styleId="Ttol3Car" w:customStyle="1">
    <w:name w:val="Títol 3 Car"/>
    <w:basedOn w:val="DefaultParagraphFont"/>
    <w:link w:val="Ttol3"/>
    <w:uiPriority w:val="9"/>
    <w:semiHidden/>
    <w:qFormat/>
    <w:rsid w:val="00170f49"/>
    <w:rPr>
      <w:rFonts w:ascii="Cambria" w:hAnsi="Cambria" w:eastAsia="ＭＳ ゴシック" w:cs="" w:asciiTheme="majorHAnsi" w:cstheme="majorBidi" w:eastAsiaTheme="majorEastAsia" w:hAnsiTheme="majorHAnsi"/>
      <w:b/>
      <w:bCs/>
      <w:color w:val="4F81BD" w:themeColor="accent1"/>
      <w:sz w:val="22"/>
      <w:szCs w:val="22"/>
      <w:lang w:val="ca-ES" w:eastAsia="en-US"/>
    </w:rPr>
  </w:style>
  <w:style w:type="character" w:styleId="Fuentedeprrafopredeter1" w:customStyle="1">
    <w:name w:val="Fuente de párrafo predeter.1"/>
    <w:qFormat/>
    <w:rsid w:val="00d103cb"/>
    <w:rPr/>
  </w:style>
  <w:style w:type="character" w:styleId="ListLabel1">
    <w:name w:val="ListLabel 1"/>
    <w:qFormat/>
    <w:rPr>
      <w:rFonts w:eastAsia="Symbol" w:cs="Noto Sans"/>
      <w:b w:val="false"/>
      <w:i/>
      <w:sz w:val="20"/>
      <w:szCs w:val="20"/>
    </w:rPr>
  </w:style>
  <w:style w:type="character" w:styleId="ListLabel2">
    <w:name w:val="ListLabel 2"/>
    <w:qFormat/>
    <w:rPr>
      <w:rFonts w:eastAsia="Symbol" w:cs="Noto Sans"/>
      <w:b w:val="false"/>
      <w:i/>
      <w:sz w:val="20"/>
      <w:szCs w:val="20"/>
    </w:rPr>
  </w:style>
  <w:style w:type="paragraph" w:styleId="Encapalament">
    <w:name w:val="Encapçalament"/>
    <w:basedOn w:val="Normal"/>
    <w:next w:val="Cosdeltext"/>
    <w:qFormat/>
    <w:pPr>
      <w:keepNext w:val="true"/>
      <w:spacing w:before="240" w:after="120"/>
    </w:pPr>
    <w:rPr>
      <w:rFonts w:ascii="Liberation Sans" w:hAnsi="Liberation Sans" w:eastAsia="Microsoft YaHei" w:cs="Arial"/>
      <w:sz w:val="28"/>
      <w:szCs w:val="28"/>
    </w:rPr>
  </w:style>
  <w:style w:type="paragraph" w:styleId="Cosdeltext">
    <w:name w:val="Body Text"/>
    <w:basedOn w:val="Normal"/>
    <w:pPr>
      <w:spacing w:lineRule="auto" w:line="276" w:before="0" w:after="140"/>
    </w:pPr>
    <w:rPr/>
  </w:style>
  <w:style w:type="paragraph" w:styleId="Llista">
    <w:name w:val="List"/>
    <w:basedOn w:val="Cosdeltext"/>
    <w:pPr/>
    <w:rPr>
      <w:rFonts w:cs="Arial"/>
    </w:rPr>
  </w:style>
  <w:style w:type="paragraph" w:styleId="Llegenda">
    <w:name w:val="Caption"/>
    <w:basedOn w:val="Normal"/>
    <w:qFormat/>
    <w:pPr>
      <w:suppressLineNumbers/>
      <w:spacing w:before="120" w:after="120"/>
    </w:pPr>
    <w:rPr>
      <w:rFonts w:cs="Arial"/>
      <w:i/>
      <w:iCs/>
      <w:sz w:val="24"/>
      <w:szCs w:val="24"/>
    </w:rPr>
  </w:style>
  <w:style w:type="paragraph" w:styleId="Ndex">
    <w:name w:val="Índex"/>
    <w:basedOn w:val="Normal"/>
    <w:qFormat/>
    <w:pPr>
      <w:suppressLineNumbers/>
    </w:pPr>
    <w:rPr>
      <w:rFonts w:cs="Arial"/>
    </w:rPr>
  </w:style>
  <w:style w:type="paragraph" w:styleId="Capalera">
    <w:name w:val="Header"/>
    <w:basedOn w:val="Normal"/>
    <w:link w:val="CapaleraCar"/>
    <w:uiPriority w:val="99"/>
    <w:unhideWhenUsed/>
    <w:rsid w:val="00eb710b"/>
    <w:pPr>
      <w:tabs>
        <w:tab w:val="clear" w:pos="708"/>
        <w:tab w:val="center" w:pos="4252" w:leader="none"/>
        <w:tab w:val="right" w:pos="8504" w:leader="none"/>
      </w:tabs>
    </w:pPr>
    <w:rPr/>
  </w:style>
  <w:style w:type="paragraph" w:styleId="Peudepgina">
    <w:name w:val="Footer"/>
    <w:basedOn w:val="Normal"/>
    <w:link w:val="PeuCar"/>
    <w:uiPriority w:val="99"/>
    <w:unhideWhenUsed/>
    <w:rsid w:val="00eb710b"/>
    <w:pPr>
      <w:tabs>
        <w:tab w:val="clear" w:pos="708"/>
        <w:tab w:val="center" w:pos="4252" w:leader="none"/>
        <w:tab w:val="right" w:pos="8504" w:leader="none"/>
      </w:tabs>
    </w:pPr>
    <w:rPr/>
  </w:style>
  <w:style w:type="paragraph" w:styleId="BalloonText">
    <w:name w:val="Balloon Text"/>
    <w:basedOn w:val="Normal"/>
    <w:link w:val="TextdeglobusCar"/>
    <w:uiPriority w:val="99"/>
    <w:semiHidden/>
    <w:unhideWhenUsed/>
    <w:qFormat/>
    <w:rsid w:val="00ce2763"/>
    <w:pPr/>
    <w:rPr>
      <w:rFonts w:ascii="Tahoma" w:hAnsi="Tahoma" w:cs="Tahoma"/>
      <w:sz w:val="16"/>
      <w:szCs w:val="16"/>
    </w:rPr>
  </w:style>
  <w:style w:type="paragraph" w:styleId="Default" w:customStyle="1">
    <w:name w:val="Default"/>
    <w:qFormat/>
    <w:rsid w:val="00eb090f"/>
    <w:pPr>
      <w:widowControl/>
      <w:bidi w:val="0"/>
      <w:jc w:val="left"/>
    </w:pPr>
    <w:rPr>
      <w:rFonts w:ascii="Legacy Sans ITC" w:hAnsi="Legacy Sans ITC" w:eastAsia="Times New Roman" w:cs="Legacy Sans ITC"/>
      <w:color w:val="000000"/>
      <w:kern w:val="0"/>
      <w:sz w:val="24"/>
      <w:szCs w:val="24"/>
      <w:lang w:val="es-ES" w:eastAsia="es-ES" w:bidi="ar-SA"/>
    </w:rPr>
  </w:style>
  <w:style w:type="paragraph" w:styleId="Annotationtext">
    <w:name w:val="annotation text"/>
    <w:basedOn w:val="Normal"/>
    <w:link w:val="TextdecomentariCar"/>
    <w:uiPriority w:val="99"/>
    <w:semiHidden/>
    <w:unhideWhenUsed/>
    <w:qFormat/>
    <w:rsid w:val="00fa6794"/>
    <w:pPr/>
    <w:rPr>
      <w:sz w:val="20"/>
      <w:szCs w:val="20"/>
    </w:rPr>
  </w:style>
  <w:style w:type="paragraph" w:styleId="Annotationsubject">
    <w:name w:val="annotation subject"/>
    <w:basedOn w:val="Annotationtext"/>
    <w:next w:val="Annotationtext"/>
    <w:link w:val="TemadelcomentariCar"/>
    <w:uiPriority w:val="99"/>
    <w:semiHidden/>
    <w:unhideWhenUsed/>
    <w:qFormat/>
    <w:rsid w:val="00fa6794"/>
    <w:pPr/>
    <w:rPr>
      <w:b/>
      <w:bCs/>
    </w:rPr>
  </w:style>
  <w:style w:type="paragraph" w:styleId="ListParagraph">
    <w:name w:val="List Paragraph"/>
    <w:basedOn w:val="Normal"/>
    <w:uiPriority w:val="34"/>
    <w:qFormat/>
    <w:rsid w:val="00132a05"/>
    <w:pPr>
      <w:spacing w:before="0" w:after="0"/>
      <w:ind w:left="720" w:hanging="0"/>
      <w:contextualSpacing/>
    </w:pPr>
    <w:rPr/>
  </w:style>
  <w:style w:type="paragraph" w:styleId="Notafinal">
    <w:name w:val="Endnote Text"/>
    <w:basedOn w:val="Normal"/>
    <w:link w:val="TextdenotaalfinalCar"/>
    <w:uiPriority w:val="99"/>
    <w:unhideWhenUsed/>
    <w:rsid w:val="00170f49"/>
    <w:pPr/>
    <w:rPr>
      <w:rFonts w:ascii="Times New Roman" w:hAnsi="Times New Roman" w:eastAsia="Times New Roman"/>
      <w:sz w:val="20"/>
      <w:szCs w:val="20"/>
      <w:lang w:val="es-ES" w:eastAsia="es-ES"/>
    </w:rPr>
  </w:style>
  <w:style w:type="paragraph" w:styleId="NormalWeb">
    <w:name w:val="Normal (Web)"/>
    <w:basedOn w:val="Normal"/>
    <w:uiPriority w:val="99"/>
    <w:unhideWhenUsed/>
    <w:qFormat/>
    <w:rsid w:val="00d103cb"/>
    <w:pPr>
      <w:spacing w:lineRule="auto" w:line="276" w:beforeAutospacing="1" w:after="142"/>
    </w:pPr>
    <w:rPr>
      <w:rFonts w:ascii="Times New Roman" w:hAnsi="Times New Roman" w:eastAsia="Times New Roman"/>
      <w:sz w:val="24"/>
      <w:szCs w:val="24"/>
      <w:lang w:val="es-ES" w:eastAsia="es-ES"/>
    </w:rPr>
  </w:style>
  <w:style w:type="numbering" w:styleId="NoList" w:default="1">
    <w:name w:val="No List"/>
    <w:uiPriority w:val="99"/>
    <w:semiHidden/>
    <w:unhideWhenUsed/>
    <w:qFormat/>
  </w:style>
  <w:style w:type="table" w:default="1" w:styleId="Taulanormal">
    <w:name w:val="Normal Table"/>
    <w:uiPriority w:val="99"/>
    <w:semiHidden/>
    <w:unhideWhenUsed/>
    <w:qFormat/>
    <w:tblPr>
      <w:tblInd w:w="0" w:type="dxa"/>
      <w:tblCellMar>
        <w:top w:w="0" w:type="dxa"/>
        <w:left w:w="108" w:type="dxa"/>
        <w:bottom w:w="0" w:type="dxa"/>
        <w:right w:w="108" w:type="dxa"/>
      </w:tblCellMar>
    </w:tblPr>
  </w:style>
  <w:style w:type="table" w:styleId="Taulaambquadrcula">
    <w:name w:val="Table Grid"/>
    <w:basedOn w:val="Taulanormal"/>
    <w:uiPriority w:val="59"/>
    <w:rsid w:val="006a4a1c"/>
    <w:tblP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Relationship Id="rId8" Type="http://schemas.openxmlformats.org/officeDocument/2006/relationships/customXml" Target="../customXml/item1.xml"/>
</Relationships>
</file>

<file path=word/_rels/header2.xml.rels><?xml version="1.0" encoding="UTF-8"?>
<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C99D1E0-B891-432C-8D8D-38CBEF2890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73</TotalTime>
  <Application>LibreOffice/6.1.5.2$Windows_x86 LibreOffice_project/90f8dcf33c87b3705e78202e3df5142b201bd805</Application>
  <Pages>3</Pages>
  <Words>726</Words>
  <Characters>4035</Characters>
  <CharactersWithSpaces>4703</CharactersWithSpaces>
  <Paragraphs>57</Paragraphs>
  <Company>Govern de les Illes Balears</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2024-02-21T13:18:00Z</dcterms:created>
  <dc:creator>Antònia Fullana Miralles</dc:creator>
  <dc:description/>
  <dc:language>es-ES</dc:language>
  <cp:lastModifiedBy/>
  <cp:lastPrinted>2025-02-06T09:52:00Z</cp:lastPrinted>
  <dcterms:modified xsi:type="dcterms:W3CDTF">2025-02-20T13:14:41Z</dcterms:modified>
  <cp:revision>11</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