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bookmarkStart w:id="0" w:name="_GoBack"/>
      <w:bookmarkEnd w:id="0"/>
      <w:r>
        <w:rPr>
          <w:rFonts w:eastAsia="Times New Roman" w:cs="Liberation Sans" w:ascii="Noto Sans" w:hAnsi="Noto Sans"/>
          <w:b/>
          <w:bCs/>
          <w:smallCaps/>
          <w:color w:val="004B99"/>
          <w:lang w:val="ca-ES" w:eastAsia="ca-ES"/>
        </w:rPr>
        <w:t xml:space="preserve">ANNEX </w:t>
      </w:r>
      <w:r>
        <w:rPr>
          <w:rFonts w:eastAsia="Times New Roman" w:cs="Times New Roman" w:ascii="Times New Roman" w:hAnsi="Times New Roman"/>
          <w:b/>
          <w:bCs/>
          <w:smallCaps/>
          <w:color w:val="004B99"/>
          <w:sz w:val="24"/>
          <w:szCs w:val="24"/>
          <w:lang w:val="ca-ES" w:eastAsia="ca-ES"/>
        </w:rPr>
        <w:t>6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responsable que l’entitat sol·licitant no es troba sotmesa a cap dels supòsits de prohibició per ser beneficiària de subvencions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4"/>
        <w:gridCol w:w="5239"/>
      </w:tblGrid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mallCaps/>
          <w:lang w:val="ca-ES" w:eastAsia="ca-ES"/>
        </w:rPr>
      </w:pPr>
      <w:r>
        <w:rPr>
          <w:rFonts w:eastAsia="Times New Roman" w:cs="Times New Roman" w:ascii="Noto Sans" w:hAnsi="Noto Sans"/>
          <w:b/>
          <w:bCs/>
          <w:smallCaps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lang w:val="ca-ES" w:eastAsia="ca-ES"/>
        </w:rPr>
      </w:pPr>
      <w:r>
        <w:rPr>
          <w:rFonts w:eastAsia="Times New Roman" w:cs="Arial" w:ascii="Noto Sans" w:hAnsi="Noto Sans"/>
          <w:lang w:val="ca-ES"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Arial" w:ascii="Noto Sans" w:hAnsi="Noto Sans"/>
          <w:lang w:val="ca-ES" w:eastAsia="ca-ES"/>
        </w:rPr>
        <w:t xml:space="preserve">Que l’entitat sol·licitant no està inclosa en cap dels supòsits de prohibició per ser beneficiària de subvencions que s’enumeren a continuació, establerts en l’article 10 </w:t>
      </w:r>
      <w:r>
        <w:rPr>
          <w:rFonts w:eastAsia="Times New Roman" w:cs="Arial" w:ascii="Noto Sans" w:hAnsi="Noto Sans"/>
          <w:color w:val="000000"/>
          <w:lang w:val="ca-ES" w:eastAsia="ca-ES"/>
        </w:rPr>
        <w:t>del Text refós de la Llei de subvencions, aprovat pel Decret legislatiu 2/2005, de 28 de desembre</w:t>
      </w:r>
      <w:r>
        <w:rPr>
          <w:rFonts w:eastAsia="Times New Roman" w:cs="Arial" w:ascii="Noto Sans" w:hAnsi="Noto Sans"/>
          <w:lang w:val="ca-ES" w:eastAsia="ca-ES"/>
        </w:rPr>
        <w:t>, en relació amb l’article 13 de la Llei 38/2003, de 17 de novembre, general de subvencions: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12"/>
          <w:lang w:val="ca-ES" w:eastAsia="ca-ES"/>
        </w:rPr>
      </w:pPr>
      <w:r>
        <w:rPr>
          <w:rFonts w:eastAsia="Times New Roman" w:cs="Times New Roman" w:ascii="Noto Sans" w:hAnsi="Noto Sans"/>
          <w:sz w:val="12"/>
          <w:lang w:val="ca-ES" w:eastAsia="ca-ES"/>
        </w:rPr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 xml:space="preserve">Haver estat condemnada mitjançant una sentència ferma a la pena de pèrdua de la possibilitat d’obtenir subvencions o ajuts públics, o per delictes de prevaricació, suborn, malversació de fons públics, tràfic d’influències, fraus i exaccions il·legals o delictes urbanístics. 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Haver sol·licitat la declaració de concurs, haver estat declarada insolvent en qualsevol procediment, estar declarada en concurs, estar subjecta a intervenció judicial o haver estat inhabilitada d’acord amb la Llei concursal sense que hagi conclòs el període d’inhabilitació fixat en la sentència de qualificació del concurs.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 xml:space="preserve">Haver donat lloc, per una causa de la qual hagi estat declarada culpable, a la resolució ferma de qualsevol contracte subscrit amb l’Administració. 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spacing w:val="-2"/>
          <w:lang w:val="ca-ES" w:eastAsia="ca-ES"/>
        </w:rPr>
        <w:t>Que la persona física, els administradors de les societats mercantils o els que</w:t>
      </w:r>
      <w:r>
        <w:rPr>
          <w:rFonts w:eastAsia="Times New Roman" w:cs="Times New Roman" w:ascii="Noto Sans" w:hAnsi="Noto Sans"/>
          <w:lang w:val="ca-ES" w:eastAsia="ca-ES"/>
        </w:rPr>
        <w:t xml:space="preserve"> tenguin la representació legal d’altres persones jurídiques estiguin sotmesos </w:t>
      </w:r>
      <w:r>
        <w:rPr>
          <w:rFonts w:eastAsia="Times New Roman" w:cs="Times New Roman" w:ascii="Noto Sans" w:hAnsi="Noto Sans"/>
          <w:spacing w:val="-2"/>
          <w:lang w:val="ca-ES" w:eastAsia="ca-ES"/>
        </w:rPr>
        <w:t xml:space="preserve">a algun dels supòsits de la Llei 3/2015, de 30 de març, reguladora de l’exercici </w:t>
      </w:r>
      <w:r>
        <w:rPr>
          <w:rFonts w:eastAsia="Times New Roman" w:cs="Times New Roman" w:ascii="Noto Sans" w:hAnsi="Noto Sans"/>
          <w:lang w:val="ca-ES" w:eastAsia="ca-ES"/>
        </w:rPr>
        <w:t>d’alt càrrec de l’Administració General de l’Estat; de la Llei 2/1996, de 19 de novembre, d’incompatibilitats dels membres del Govern de les Illes Balears i dels alts càrrecs, o de la Llei 53/1984, de 26 de desembre, d’incompatibilitats del personal al servei de les administracions públiques, o que es tracti de qualsevol dels càrrecs electius que regulen la Llei orgànica 5/1985, de 19 de juny, del règim electoral general, i la Llei 8/1986, de 26 de novembre, electoral de la Comunitat Autònoma de les Illes Balears, en els termes que estableixi aquesta normativa.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/>
      </w:pPr>
      <w:r>
        <w:rPr>
          <w:rFonts w:eastAsia="Times New Roman" w:cs="Times New Roman" w:ascii="Noto Sans" w:hAnsi="Noto Sans"/>
          <w:lang w:val="ca-ES" w:eastAsia="ca-ES"/>
        </w:rPr>
        <w:t xml:space="preserve">No estar al corrent en el compliment de les obligacions tributàries o amb la Seguretat Social a què es refereix la lletra </w:t>
      </w:r>
      <w:r>
        <w:rPr>
          <w:rFonts w:eastAsia="Times New Roman" w:cs="Times New Roman" w:ascii="Noto Sans" w:hAnsi="Noto Sans"/>
          <w:i/>
          <w:iCs/>
          <w:lang w:val="ca-ES" w:eastAsia="ca-ES"/>
        </w:rPr>
        <w:t>f)</w:t>
      </w:r>
      <w:r>
        <w:rPr>
          <w:rFonts w:eastAsia="Times New Roman" w:cs="Times New Roman" w:ascii="Noto Sans" w:hAnsi="Noto Sans"/>
          <w:lang w:val="ca-ES" w:eastAsia="ca-ES"/>
        </w:rPr>
        <w:t xml:space="preserve"> de l’article 11 de la Llei de subvencions, en la forma que es determini per reglament.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Tenir la residència fiscal en un país o un territori qualificat per reglament com a paradís fiscal.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No estar al corrent de pagament d’obligacions per reintegrament de subvencions en els termes que es determinin per reglament.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/>
      </w:pPr>
      <w:r>
        <w:rPr>
          <w:rFonts w:eastAsia="Times New Roman" w:cs="Times New Roman" w:ascii="Noto Sans" w:hAnsi="Noto Sans"/>
          <w:lang w:val="ca-ES" w:eastAsia="ca-ES"/>
        </w:rPr>
        <w:t>Haver estat sancionada mitjançant sentència o resolució ferma amb la pèrdua de la possibilitat d’obtenir subvencions segons la Llei de subvencions o la Llei general tributària.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spacing w:val="-2"/>
          <w:lang w:val="ca-ES" w:eastAsia="ca-ES"/>
        </w:rPr>
        <w:t>Haver estat sancionada mitjançant sentència o resolució ferma amb la pèrdua</w:t>
      </w:r>
      <w:r>
        <w:rPr>
          <w:rFonts w:eastAsia="Times New Roman" w:cs="Times New Roman" w:ascii="Noto Sans" w:hAnsi="Noto Sans"/>
          <w:lang w:val="ca-ES" w:eastAsia="ca-ES"/>
        </w:rPr>
        <w:t xml:space="preserve"> de la possibilitat d’obtenir subvencions d’acord amb el que preveuen els </w:t>
      </w:r>
      <w:r>
        <w:rPr>
          <w:rFonts w:eastAsia="Times New Roman" w:cs="Times New Roman" w:ascii="Noto Sans" w:hAnsi="Noto Sans"/>
          <w:spacing w:val="-2"/>
          <w:lang w:val="ca-ES" w:eastAsia="ca-ES"/>
        </w:rPr>
        <w:t>articles 27.1 i 38.3 de la Llei 2/2018, de 13 d’abril, de memòria i reconeixement</w:t>
      </w:r>
      <w:r>
        <w:rPr>
          <w:rFonts w:eastAsia="Times New Roman" w:cs="Times New Roman" w:ascii="Noto Sans" w:hAnsi="Noto Sans"/>
          <w:lang w:val="ca-ES" w:eastAsia="ca-ES"/>
        </w:rPr>
        <w:t xml:space="preserve"> democràtics de les Illes Balears.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 xml:space="preserve">Incomplir els requisits a què es refereix la lletra </w:t>
      </w:r>
      <w:r>
        <w:rPr>
          <w:rFonts w:eastAsia="Times New Roman" w:cs="Times New Roman" w:ascii="Noto Sans" w:hAnsi="Noto Sans"/>
          <w:i/>
          <w:iCs/>
          <w:lang w:val="ca-ES" w:eastAsia="ca-ES"/>
        </w:rPr>
        <w:t>a)</w:t>
      </w:r>
      <w:r>
        <w:rPr>
          <w:rFonts w:eastAsia="Times New Roman" w:cs="Times New Roman" w:ascii="Noto Sans" w:hAnsi="Noto Sans"/>
          <w:lang w:val="ca-ES" w:eastAsia="ca-ES"/>
        </w:rPr>
        <w:t xml:space="preserve"> de l’article 42 de la Llei de promoció de la seguretat i la salut en el treball a les Illes Balears o haver estat sancionada mitjançant una sentència o resolució ferma per les faltes a què fa referència la lletra </w:t>
      </w:r>
      <w:r>
        <w:rPr>
          <w:rFonts w:eastAsia="Times New Roman" w:cs="Times New Roman" w:ascii="Noto Sans" w:hAnsi="Noto Sans"/>
          <w:i/>
          <w:iCs/>
          <w:lang w:val="ca-ES" w:eastAsia="ca-ES"/>
        </w:rPr>
        <w:t>b)</w:t>
      </w:r>
      <w:r>
        <w:rPr>
          <w:rFonts w:eastAsia="Times New Roman" w:cs="Times New Roman" w:ascii="Noto Sans" w:hAnsi="Noto Sans"/>
          <w:lang w:val="ca-ES" w:eastAsia="ca-ES"/>
        </w:rPr>
        <w:t xml:space="preserve"> del mateix precepte legal.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Ser una agrupació de les que preveu el paràgraf segon de l’apartat 3 de l’article 9 de la Llei de subvencions quan qualsevol dels seus membres estigui afectat per les prohibicions anteriors.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12"/>
          <w:lang w:val="ca-ES" w:eastAsia="ca-ES"/>
        </w:rPr>
      </w:pPr>
      <w:r>
        <w:rPr>
          <w:rFonts w:eastAsia="Times New Roman" w:cs="Times New Roman" w:ascii="Noto Sans" w:hAnsi="Noto Sans"/>
          <w:sz w:val="12"/>
          <w:lang w:val="ca-ES"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 xml:space="preserve">En el cas d’associacions, que l’entitat no es troba sotmesa a cap dels supòsits de prohibició per ser beneficiària de subvencions que estableixen els apartats 5 i 6 de l’article 4 de la Llei orgànica 1/2002, de 22 de març, reguladora del dret </w:t>
      </w:r>
      <w:r>
        <w:rPr>
          <w:rFonts w:eastAsia="Times New Roman" w:cs="Arial" w:ascii="Noto Sans" w:hAnsi="Noto Sans"/>
          <w:lang w:val="ca-ES" w:eastAsia="ca-ES"/>
        </w:rPr>
        <w:t>d’associació</w:t>
      </w:r>
      <w:r>
        <w:rPr>
          <w:rFonts w:eastAsia="Times New Roman" w:cs="Times New Roman" w:ascii="Noto Sans" w:hAnsi="Noto Sans"/>
          <w:lang w:val="ca-ES" w:eastAsia="ca-ES"/>
        </w:rPr>
        <w:t>.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color w:val="000000"/>
          <w:sz w:val="12"/>
          <w:lang w:val="ca-ES" w:eastAsia="ca-ES"/>
        </w:rPr>
      </w:pPr>
      <w:r>
        <w:rPr>
          <w:rFonts w:eastAsia="Times New Roman" w:cs="Arial" w:ascii="Noto Sans" w:hAnsi="Noto Sans"/>
          <w:color w:val="000000"/>
          <w:sz w:val="12"/>
          <w:lang w:val="ca-ES"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Arial" w:ascii="Noto Sans" w:hAnsi="Noto Sans"/>
          <w:color w:val="000000"/>
          <w:lang w:val="ca-ES" w:eastAsia="ca-ES"/>
        </w:rPr>
        <w:t xml:space="preserve">En el cas d’associacions, que l’entitat no es troba sotmesa a la prohibició per ser </w:t>
      </w:r>
      <w:r>
        <w:rPr>
          <w:rFonts w:eastAsia="Times New Roman" w:cs="Times New Roman" w:ascii="Noto Sans" w:hAnsi="Noto Sans"/>
          <w:lang w:val="ca-ES" w:eastAsia="ca-ES"/>
        </w:rPr>
        <w:t>beneficiària</w:t>
      </w:r>
      <w:r>
        <w:rPr>
          <w:rFonts w:eastAsia="Times New Roman" w:cs="Arial" w:ascii="Noto Sans" w:hAnsi="Noto Sans"/>
          <w:color w:val="000000"/>
          <w:lang w:val="ca-ES" w:eastAsia="ca-ES"/>
        </w:rPr>
        <w:t xml:space="preserve"> de subvencions a causa del fet que s’hagi </w:t>
      </w:r>
      <w:r>
        <w:rPr>
          <w:rFonts w:eastAsia="Times New Roman" w:cs="Arial" w:ascii="Noto Sans" w:hAnsi="Noto Sans"/>
          <w:lang w:val="ca-ES" w:eastAsia="ca-ES"/>
        </w:rPr>
        <w:t>suspès</w:t>
      </w:r>
      <w:r>
        <w:rPr>
          <w:rFonts w:eastAsia="Times New Roman" w:cs="Arial" w:ascii="Noto Sans" w:hAnsi="Noto Sans"/>
          <w:color w:val="000000"/>
          <w:lang w:val="ca-ES" w:eastAsia="ca-ES"/>
        </w:rPr>
        <w:t xml:space="preserve"> el procediment </w:t>
      </w:r>
      <w:r>
        <w:rPr>
          <w:rFonts w:eastAsia="Times New Roman" w:cs="Arial" w:ascii="Noto Sans" w:hAnsi="Noto Sans"/>
          <w:color w:val="000000"/>
          <w:spacing w:val="-3"/>
          <w:lang w:val="ca-ES" w:eastAsia="ca-ES"/>
        </w:rPr>
        <w:t xml:space="preserve">administratiu d’inscripció en el registre corresponent perquè s’hagin trobat indicis </w:t>
      </w:r>
      <w:r>
        <w:rPr>
          <w:rFonts w:eastAsia="Times New Roman" w:cs="Arial" w:ascii="Noto Sans" w:hAnsi="Noto Sans"/>
          <w:spacing w:val="-2"/>
          <w:lang w:val="ca-ES" w:eastAsia="ca-ES"/>
        </w:rPr>
        <w:t>racionals</w:t>
      </w:r>
      <w:r>
        <w:rPr>
          <w:rFonts w:eastAsia="Times New Roman" w:cs="Arial" w:ascii="Noto Sans" w:hAnsi="Noto Sans"/>
          <w:color w:val="000000"/>
          <w:spacing w:val="-2"/>
          <w:lang w:val="ca-ES" w:eastAsia="ca-ES"/>
        </w:rPr>
        <w:t xml:space="preserve"> d’il·licitud penal, en aplicació de l’article 30.4 de la Llei orgànica 1/2002,</w:t>
      </w:r>
      <w:r>
        <w:rPr>
          <w:rFonts w:eastAsia="Times New Roman" w:cs="Arial" w:ascii="Noto Sans" w:hAnsi="Noto Sans"/>
          <w:color w:val="000000"/>
          <w:lang w:val="ca-ES" w:eastAsia="ca-ES"/>
        </w:rPr>
        <w:t xml:space="preserve"> mentre no hi hagi una resolució ferma en virtut de la qual es pugui fer la inscripció.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color w:val="000000"/>
          <w:sz w:val="12"/>
          <w:lang w:val="ca-ES" w:eastAsia="ca-ES"/>
        </w:rPr>
      </w:pPr>
      <w:r>
        <w:rPr>
          <w:rFonts w:eastAsia="Times New Roman" w:cs="Times New Roman" w:ascii="Noto Sans" w:hAnsi="Noto Sans"/>
          <w:color w:val="000000"/>
          <w:sz w:val="12"/>
          <w:lang w:val="ca-ES"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color w:val="000000"/>
          <w:lang w:val="ca-ES" w:eastAsia="ca-ES"/>
        </w:rPr>
        <w:t xml:space="preserve">Que l’entitat no ha estat objecte de sancions administratives fermes ni de </w:t>
      </w:r>
      <w:r>
        <w:rPr>
          <w:rFonts w:eastAsia="Times New Roman" w:cs="Times New Roman" w:ascii="Noto Sans" w:hAnsi="Noto Sans"/>
          <w:lang w:val="ca-ES" w:eastAsia="ca-ES"/>
        </w:rPr>
        <w:t>sentències</w:t>
      </w:r>
      <w:r>
        <w:rPr>
          <w:rFonts w:eastAsia="Times New Roman" w:cs="Times New Roman" w:ascii="Noto Sans" w:hAnsi="Noto Sans"/>
          <w:color w:val="000000"/>
          <w:lang w:val="ca-ES" w:eastAsia="ca-ES"/>
        </w:rPr>
        <w:t xml:space="preserve"> condemnatòries fermes per haver exercit o tolerat pràctiques laborals considerades discriminatòries per raó de sexe o de gènere, d’acord amb l’article 11.2 de la Llei 11/2016, de 28 de juliol, d’igualtat entre dones i homes, ni ha estat sancionada mitjançant una resolució ferma amb la pèrdua de la possibilitat d’obtenir una subvenció, d’acord amb la Llei 8/2016, de 30 de maig, per garantir els drets de lesbianes, gais, trans, bisexuals i intersexuals i per erradicar l’LGTBI-fòbia, o qualsevol altra norma aplicable.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Segoe UI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0"/>
        <w:rFonts w:cs="Noto San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Aria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273cfb"/>
    <w:rPr>
      <w:sz w:val="16"/>
      <w:szCs w:val="16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273cfb"/>
    <w:rPr>
      <w:b/>
      <w:bCs/>
      <w:sz w:val="20"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73cfb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ascii="Noto Sans" w:hAnsi="Noto Sans" w:eastAsia="Calibri"/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ascii="Noto Sans" w:hAnsi="Noto Sans" w:cs="Arial"/>
    </w:rPr>
  </w:style>
  <w:style w:type="character" w:styleId="ListLabel20">
    <w:name w:val="ListLabel 20"/>
    <w:qFormat/>
    <w:rPr>
      <w:rFonts w:ascii="Noto Sans" w:hAnsi="Noto Sans" w:cs="Noto Sans"/>
      <w:sz w:val="20"/>
    </w:rPr>
  </w:style>
  <w:style w:type="character" w:styleId="ListLabel21">
    <w:name w:val="ListLabel 21"/>
    <w:qFormat/>
    <w:rPr>
      <w:rFonts w:cs="Courier New"/>
      <w:sz w:val="20"/>
    </w:rPr>
  </w:style>
  <w:style w:type="character" w:styleId="ListLabel22">
    <w:name w:val="ListLabel 22"/>
    <w:qFormat/>
    <w:rPr>
      <w:rFonts w:cs="Wingdings"/>
      <w:sz w:val="20"/>
    </w:rPr>
  </w:style>
  <w:style w:type="character" w:styleId="ListLabel23">
    <w:name w:val="ListLabel 23"/>
    <w:qFormat/>
    <w:rPr>
      <w:rFonts w:cs="Wingdings"/>
      <w:sz w:val="20"/>
    </w:rPr>
  </w:style>
  <w:style w:type="character" w:styleId="ListLabel24">
    <w:name w:val="ListLabel 24"/>
    <w:qFormat/>
    <w:rPr>
      <w:rFonts w:cs="Wingdings"/>
      <w:sz w:val="20"/>
    </w:rPr>
  </w:style>
  <w:style w:type="character" w:styleId="ListLabel25">
    <w:name w:val="ListLabel 25"/>
    <w:qFormat/>
    <w:rPr>
      <w:rFonts w:cs="Wingdings"/>
      <w:sz w:val="20"/>
    </w:rPr>
  </w:style>
  <w:style w:type="character" w:styleId="ListLabel26">
    <w:name w:val="ListLabel 26"/>
    <w:qFormat/>
    <w:rPr>
      <w:rFonts w:cs="Wingdings"/>
      <w:sz w:val="20"/>
    </w:rPr>
  </w:style>
  <w:style w:type="character" w:styleId="ListLabel27">
    <w:name w:val="ListLabel 27"/>
    <w:qFormat/>
    <w:rPr>
      <w:rFonts w:cs="Wingdings"/>
      <w:sz w:val="20"/>
    </w:rPr>
  </w:style>
  <w:style w:type="character" w:styleId="ListLabel28">
    <w:name w:val="ListLabel 28"/>
    <w:qFormat/>
    <w:rPr>
      <w:rFonts w:cs="Wingdings"/>
      <w:sz w:val="20"/>
    </w:rPr>
  </w:style>
  <w:style w:type="character" w:styleId="ListLabel29">
    <w:name w:val="ListLabel 29"/>
    <w:qFormat/>
    <w:rPr>
      <w:rFonts w:ascii="Noto Sans" w:hAnsi="Noto Sans" w:cs="Arial"/>
    </w:rPr>
  </w:style>
  <w:style w:type="character" w:styleId="ListLabel30">
    <w:name w:val="ListLabel 30"/>
    <w:qFormat/>
    <w:rPr>
      <w:rFonts w:ascii="Noto Sans" w:hAnsi="Noto Sans" w:cs="Noto Sans"/>
      <w:sz w:val="20"/>
    </w:rPr>
  </w:style>
  <w:style w:type="character" w:styleId="ListLabel31">
    <w:name w:val="ListLabel 31"/>
    <w:qFormat/>
    <w:rPr>
      <w:rFonts w:cs="Courier New"/>
      <w:sz w:val="20"/>
    </w:rPr>
  </w:style>
  <w:style w:type="character" w:styleId="ListLabel32">
    <w:name w:val="ListLabel 32"/>
    <w:qFormat/>
    <w:rPr>
      <w:rFonts w:cs="Wingdings"/>
      <w:sz w:val="20"/>
    </w:rPr>
  </w:style>
  <w:style w:type="character" w:styleId="ListLabel33">
    <w:name w:val="ListLabel 33"/>
    <w:qFormat/>
    <w:rPr>
      <w:rFonts w:cs="Wingdings"/>
      <w:sz w:val="20"/>
    </w:rPr>
  </w:style>
  <w:style w:type="character" w:styleId="ListLabel34">
    <w:name w:val="ListLabel 34"/>
    <w:qFormat/>
    <w:rPr>
      <w:rFonts w:cs="Wingdings"/>
      <w:sz w:val="20"/>
    </w:rPr>
  </w:style>
  <w:style w:type="character" w:styleId="ListLabel35">
    <w:name w:val="ListLabel 35"/>
    <w:qFormat/>
    <w:rPr>
      <w:rFonts w:cs="Wingdings"/>
      <w:sz w:val="20"/>
    </w:rPr>
  </w:style>
  <w:style w:type="character" w:styleId="ListLabel36">
    <w:name w:val="ListLabel 36"/>
    <w:qFormat/>
    <w:rPr>
      <w:rFonts w:cs="Wingdings"/>
      <w:sz w:val="20"/>
    </w:rPr>
  </w:style>
  <w:style w:type="character" w:styleId="ListLabel37">
    <w:name w:val="ListLabel 37"/>
    <w:qFormat/>
    <w:rPr>
      <w:rFonts w:cs="Wingdings"/>
      <w:sz w:val="20"/>
    </w:rPr>
  </w:style>
  <w:style w:type="character" w:styleId="ListLabel38">
    <w:name w:val="ListLabel 38"/>
    <w:qFormat/>
    <w:rPr>
      <w:rFonts w:cs="Wingdings"/>
      <w:sz w:val="20"/>
    </w:rPr>
  </w:style>
  <w:style w:type="character" w:styleId="ListLabel39">
    <w:name w:val="ListLabel 39"/>
    <w:qFormat/>
    <w:rPr>
      <w:rFonts w:ascii="Noto Sans" w:hAnsi="Noto Sans" w:cs="Aria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ListParagraph">
    <w:name w:val="List Paragraph"/>
    <w:basedOn w:val="Normal"/>
    <w:uiPriority w:val="34"/>
    <w:qFormat/>
    <w:rsid w:val="00c4249e"/>
    <w:pPr>
      <w:spacing w:before="0" w:after="200"/>
      <w:ind w:left="720" w:hanging="0"/>
      <w:contextualSpacing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273cfb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73cfb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ae3c4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21C488-F160-45C7-9346-26AEF40E4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Application>LibreOffice/6.1.5.2$Windows_x86 LibreOffice_project/90f8dcf33c87b3705e78202e3df5142b201bd805</Application>
  <Pages>2</Pages>
  <Words>786</Words>
  <Characters>4119</Characters>
  <CharactersWithSpaces>4867</CharactersWithSpaces>
  <Paragraphs>25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u101874</dc:creator>
  <dc:description/>
  <dc:language>es-ES</dc:language>
  <cp:lastModifiedBy/>
  <dcterms:modified xsi:type="dcterms:W3CDTF">2024-09-09T12:19:02Z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