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rPr/>
      </w:pPr>
      <w:r>
        <w:rPr>
          <w:rFonts w:eastAsia="Times New Roman" w:cs="Times New Roman" w:ascii="Noto Sans" w:hAnsi="Noto Sans"/>
          <w:b/>
          <w:bCs/>
          <w:smallCaps/>
          <w:color w:val="004B99"/>
          <w:lang w:val="ca-ES" w:eastAsia="ca-ES"/>
        </w:rPr>
        <w:t>Annex</w:t>
      </w:r>
      <w:r>
        <w:rPr>
          <w:rFonts w:eastAsia="Times New Roman" w:cs="Times New Roman" w:ascii="Noto Sans" w:hAnsi="Noto Sans"/>
          <w:b/>
          <w:bCs/>
          <w:color w:val="004B99"/>
          <w:lang w:val="ca-ES" w:eastAsia="ca-ES"/>
        </w:rPr>
        <w:t xml:space="preserve"> </w:t>
      </w:r>
      <w:r>
        <w:rPr>
          <w:rFonts w:eastAsia="Times New Roman" w:cs="Times New Roman" w:ascii="Noto Sans" w:hAnsi="Noto Sans"/>
          <w:b/>
          <w:bCs/>
          <w:color w:val="004B99"/>
          <w:sz w:val="24"/>
          <w:szCs w:val="24"/>
          <w:lang w:val="ca-ES" w:eastAsia="ca-ES"/>
        </w:rPr>
        <w:t>4</w:t>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b/>
          <w:bCs/>
          <w:color w:val="004B99"/>
          <w:lang w:val="ca-ES" w:eastAsia="ca-ES"/>
        </w:rPr>
        <w:t>Resum dels pressuposts de les activitats</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bl>
      <w:tblPr>
        <w:tblStyle w:val="Tablaconcuadrcula"/>
        <w:tblW w:w="8494" w:type="dxa"/>
        <w:jc w:val="left"/>
        <w:tblInd w:w="0" w:type="dxa"/>
        <w:tblCellMar>
          <w:top w:w="0" w:type="dxa"/>
          <w:left w:w="108" w:type="dxa"/>
          <w:bottom w:w="0" w:type="dxa"/>
          <w:right w:w="108" w:type="dxa"/>
        </w:tblCellMar>
        <w:tblLook w:firstRow="1" w:noVBand="1" w:lastRow="0" w:firstColumn="1" w:lastColumn="0" w:noHBand="0" w:val="04a0"/>
      </w:tblPr>
      <w:tblGrid>
        <w:gridCol w:w="1094"/>
        <w:gridCol w:w="2323"/>
        <w:gridCol w:w="2482"/>
        <w:gridCol w:w="2594"/>
      </w:tblGrid>
      <w:tr>
        <w:trPr/>
        <w:tc>
          <w:tcPr>
            <w:tcW w:w="1094" w:type="dxa"/>
            <w:tcBorders/>
            <w:shd w:fill="auto" w:val="clear"/>
          </w:tcPr>
          <w:p>
            <w:pPr>
              <w:pStyle w:val="Normal"/>
              <w:spacing w:lineRule="auto" w:line="240" w:before="0" w:after="0"/>
              <w:rPr>
                <w:rFonts w:ascii="Noto Sans" w:hAnsi="Noto Sans" w:eastAsia="Times New Roman" w:cs="Times New Roman"/>
                <w:i/>
                <w:i/>
                <w:sz w:val="20"/>
                <w:szCs w:val="24"/>
                <w:lang w:val="ca-ES" w:eastAsia="ca-ES"/>
              </w:rPr>
            </w:pPr>
            <w:r>
              <w:rPr>
                <w:rFonts w:eastAsia="Times New Roman" w:cs="Times New Roman" w:ascii="Noto Sans" w:hAnsi="Noto Sans"/>
                <w:i/>
                <w:sz w:val="20"/>
                <w:szCs w:val="24"/>
                <w:lang w:val="ca-ES" w:eastAsia="ca-ES"/>
              </w:rPr>
              <w:t>Núm. de l’activitat</w:t>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i/>
                <w:iCs/>
                <w:sz w:val="20"/>
                <w:szCs w:val="20"/>
                <w:lang w:val="ca-ES" w:eastAsia="ca-ES"/>
              </w:rPr>
              <w:t>Cost</w:t>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i/>
                <w:iCs/>
                <w:sz w:val="20"/>
                <w:szCs w:val="20"/>
                <w:lang w:val="ca-ES" w:eastAsia="ca-ES"/>
              </w:rPr>
              <w:t>Ingressos</w:t>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color w:val="808080" w:themeColor="background1" w:themeShade="80"/>
                <w:sz w:val="16"/>
                <w:szCs w:val="16"/>
                <w:lang w:val="ca-ES" w:eastAsia="ca-ES"/>
              </w:rPr>
              <w:t>[no provinents de la subvenció sol·licitada]</w:t>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i/>
                <w:iCs/>
                <w:sz w:val="20"/>
                <w:szCs w:val="20"/>
                <w:lang w:val="ca-ES" w:eastAsia="ca-ES"/>
              </w:rPr>
              <w:t>Import sol·licitat a la Conselleria de Presidència i Administracions Públiques</w:t>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ListParagraph"/>
              <w:numPr>
                <w:ilvl w:val="0"/>
                <w:numId w:val="2"/>
              </w:numPr>
              <w:spacing w:lineRule="auto" w:line="240" w:before="0" w:after="0"/>
              <w:ind w:left="720" w:hanging="578"/>
              <w:contextualSpacing/>
              <w:rPr>
                <w:rFonts w:ascii="Noto Sans" w:hAnsi="Noto Sans" w:eastAsia="Times New Roman" w:cs="Times New Roman"/>
                <w:sz w:val="20"/>
                <w:szCs w:val="20"/>
                <w:lang w:eastAsia="ca-ES"/>
              </w:rPr>
            </w:pPr>
            <w:r>
              <w:rPr>
                <w:rFonts w:eastAsia="Times New Roman" w:cs="Times New Roman" w:ascii="Noto Sans" w:hAnsi="Noto Sans"/>
                <w:sz w:val="20"/>
                <w:szCs w:val="20"/>
                <w:lang w:eastAsia="ca-ES"/>
              </w:rPr>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c>
          <w:tcPr>
            <w:tcW w:w="1094" w:type="dxa"/>
            <w:tcBorders/>
            <w:shd w:fill="auto" w:val="clear"/>
          </w:tcPr>
          <w:p>
            <w:pPr>
              <w:pStyle w:val="Normal"/>
              <w:spacing w:lineRule="auto" w:line="240" w:before="0" w:after="0"/>
              <w:jc w:val="center"/>
              <w:rPr>
                <w:rFonts w:ascii="Noto Sans" w:hAnsi="Noto Sans" w:eastAsia="Times New Roman" w:cs="Times New Roman"/>
                <w:sz w:val="20"/>
                <w:szCs w:val="20"/>
                <w:lang w:val="ca-ES" w:eastAsia="ca-ES"/>
              </w:rPr>
            </w:pPr>
            <w:r>
              <w:rPr>
                <w:rFonts w:eastAsia="Times New Roman" w:cs="Times New Roman" w:ascii="Noto Sans" w:hAnsi="Noto Sans"/>
                <w:sz w:val="20"/>
                <w:szCs w:val="20"/>
                <w:lang w:val="ca-ES" w:eastAsia="ca-ES"/>
              </w:rPr>
              <w:t>TOTAL</w:t>
            </w:r>
          </w:p>
          <w:p>
            <w:pPr>
              <w:pStyle w:val="Normal"/>
              <w:spacing w:lineRule="auto" w:line="240" w:before="0" w:after="0"/>
              <w:rPr>
                <w:rFonts w:ascii="Noto Sans" w:hAnsi="Noto Sans" w:eastAsia="Times New Roman" w:cs="Times New Roman"/>
                <w:sz w:val="14"/>
                <w:szCs w:val="14"/>
                <w:lang w:eastAsia="ca-ES"/>
              </w:rPr>
            </w:pPr>
            <w:r>
              <w:rPr>
                <w:rFonts w:eastAsia="Times New Roman" w:cs="Times New Roman" w:ascii="Noto Sans" w:hAnsi="Noto Sans"/>
                <w:sz w:val="14"/>
                <w:szCs w:val="14"/>
                <w:lang w:val="ca-ES" w:eastAsia="ca-ES"/>
              </w:rPr>
              <w:t>(suma de les activitats)</w:t>
            </w:r>
          </w:p>
        </w:tc>
        <w:tc>
          <w:tcPr>
            <w:tcW w:w="2323"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482"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594" w:type="dxa"/>
            <w:tcBorders/>
            <w:shd w:fill="auto" w:val="clear"/>
          </w:tcPr>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bl>
    <w:p>
      <w:pPr>
        <w:pStyle w:val="Normal"/>
        <w:spacing w:lineRule="auto" w:line="240" w:before="0" w:after="0"/>
        <w:rPr>
          <w:rFonts w:ascii="Noto Sans" w:hAnsi="Noto Sans" w:eastAsia="Times New Roman" w:cs="Times New Roman"/>
          <w:szCs w:val="24"/>
          <w:lang w:eastAsia="ca-ES"/>
        </w:rPr>
      </w:pPr>
      <w:r>
        <w:rPr>
          <w:rFonts w:eastAsia="Times New Roman" w:cs="Times New Roman" w:ascii="Noto Sans" w:hAnsi="Noto Sans"/>
          <w:szCs w:val="24"/>
          <w:lang w:eastAsia="ca-ES"/>
        </w:rPr>
      </w:r>
    </w:p>
    <w:p>
      <w:pPr>
        <w:pStyle w:val="Normal"/>
        <w:spacing w:lineRule="auto" w:line="240" w:before="0" w:after="0"/>
        <w:rPr/>
      </w:pPr>
      <w:r>
        <w:rPr>
          <w:rFonts w:eastAsia="Times New Roman" w:cs="Times New Roman" w:ascii="Noto Sans" w:hAnsi="Noto Sans"/>
          <w:sz w:val="20"/>
          <w:szCs w:val="18"/>
          <w:lang w:val="ca-ES" w:eastAsia="ca-ES"/>
        </w:rPr>
        <w:t xml:space="preserve">* Les despeses de funcionament que formen part del projecte només són subvencionables </w:t>
      </w:r>
      <w:r>
        <w:rPr>
          <w:rFonts w:eastAsia="Times New Roman" w:cs="Times New Roman" w:ascii="Noto Sans" w:hAnsi="Noto Sans"/>
          <w:color w:val="auto"/>
          <w:kern w:val="0"/>
          <w:sz w:val="20"/>
          <w:szCs w:val="18"/>
          <w:lang w:val="ca-ES" w:eastAsia="ca-ES" w:bidi="ar-SA"/>
        </w:rPr>
        <w:t>sempre que siguin indispensables per preparar o executar el projecte de manera adequada i estiguin relacionades directament amb l’activitat subvencionada.</w:t>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bl>
      <w:tblPr>
        <w:tblStyle w:val="Tablaconcuadrcula"/>
        <w:tblW w:w="8494" w:type="dxa"/>
        <w:jc w:val="left"/>
        <w:tblInd w:w="0" w:type="dxa"/>
        <w:tblCellMar>
          <w:top w:w="0" w:type="dxa"/>
          <w:left w:w="108" w:type="dxa"/>
          <w:bottom w:w="0" w:type="dxa"/>
          <w:right w:w="108" w:type="dxa"/>
        </w:tblCellMar>
        <w:tblLook w:firstRow="1" w:noVBand="1" w:lastRow="0" w:firstColumn="1" w:lastColumn="0" w:noHBand="0" w:val="04a0"/>
      </w:tblPr>
      <w:tblGrid>
        <w:gridCol w:w="2836"/>
        <w:gridCol w:w="2813"/>
        <w:gridCol w:w="2845"/>
      </w:tblGrid>
      <w:tr>
        <w:trPr/>
        <w:tc>
          <w:tcPr>
            <w:tcW w:w="2836"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i/>
                <w:iCs/>
                <w:sz w:val="20"/>
                <w:szCs w:val="20"/>
                <w:lang w:val="ca-ES" w:eastAsia="ca-ES"/>
              </w:rPr>
              <w:t>Tipus de despesa de funcionament</w:t>
            </w:r>
          </w:p>
        </w:tc>
        <w:tc>
          <w:tcPr>
            <w:tcW w:w="2813"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i/>
                <w:iCs/>
                <w:sz w:val="20"/>
                <w:szCs w:val="20"/>
                <w:lang w:val="ca-ES" w:eastAsia="ca-ES"/>
              </w:rPr>
              <w:t>Cost</w:t>
            </w:r>
          </w:p>
        </w:tc>
        <w:tc>
          <w:tcPr>
            <w:tcW w:w="2845"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i/>
                <w:iCs/>
                <w:sz w:val="20"/>
                <w:szCs w:val="20"/>
                <w:lang w:val="ca-ES" w:eastAsia="ca-ES"/>
              </w:rPr>
              <w:t>Import sol·licitat a la Conselleria de Presidència i Administracions Públiques</w:t>
            </w:r>
          </w:p>
        </w:tc>
      </w:tr>
      <w:tr>
        <w:trPr/>
        <w:tc>
          <w:tcPr>
            <w:tcW w:w="2836"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13"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45"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r>
        <w:trPr/>
        <w:tc>
          <w:tcPr>
            <w:tcW w:w="2836"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13"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45"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r>
        <w:trPr/>
        <w:tc>
          <w:tcPr>
            <w:tcW w:w="2836"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13"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45"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r>
        <w:trPr/>
        <w:tc>
          <w:tcPr>
            <w:tcW w:w="2836"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13"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45"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r>
        <w:trPr/>
        <w:tc>
          <w:tcPr>
            <w:tcW w:w="2836"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13"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c>
          <w:tcPr>
            <w:tcW w:w="2845" w:type="dxa"/>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c>
      </w:tr>
    </w:tbl>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tbl>
      <w:tblPr>
        <w:tblStyle w:val="Tablaconcuadrcula"/>
        <w:tblW w:w="8721" w:type="dxa"/>
        <w:jc w:val="left"/>
        <w:tblInd w:w="0" w:type="dxa"/>
        <w:tblCellMar>
          <w:top w:w="0" w:type="dxa"/>
          <w:left w:w="108" w:type="dxa"/>
          <w:bottom w:w="0" w:type="dxa"/>
          <w:right w:w="108" w:type="dxa"/>
        </w:tblCellMar>
        <w:tblLook w:firstRow="1" w:noVBand="1" w:lastRow="0" w:firstColumn="1" w:lastColumn="0" w:noHBand="0" w:val="04a0"/>
      </w:tblPr>
      <w:tblGrid>
        <w:gridCol w:w="4360"/>
        <w:gridCol w:w="4360"/>
      </w:tblGrid>
      <w:tr>
        <w:trPr/>
        <w:tc>
          <w:tcPr>
            <w:tcW w:w="4360"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Times New Roman" w:cs="Times New Roman"/>
                <w:color w:val="595959"/>
                <w:lang w:val="ca-ES" w:eastAsia="ca-ES"/>
              </w:rPr>
            </w:pPr>
            <w:r>
              <w:rPr>
                <w:rFonts w:eastAsia="Times New Roman" w:cs="Times New Roman" w:ascii="Noto Sans" w:hAnsi="Noto Sans"/>
                <w:color w:val="595959"/>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595959"/>
                <w:lang w:val="ca-ES" w:eastAsia="ca-ES"/>
              </w:rPr>
              <w:t>____________</w:t>
            </w:r>
            <w:r>
              <w:rPr>
                <w:rFonts w:eastAsia="Times New Roman" w:cs="Times New Roman" w:ascii="Noto Sans" w:hAnsi="Noto Sans"/>
                <w:color w:val="000000"/>
                <w:lang w:val="ca-ES" w:eastAsia="ca-ES"/>
              </w:rPr>
              <w:t xml:space="preserve">, </w:t>
            </w:r>
            <w:r>
              <w:rPr>
                <w:rFonts w:eastAsia="Times New Roman" w:cs="Times New Roman" w:ascii="Noto Sans" w:hAnsi="Noto Sans"/>
                <w:color w:val="595959"/>
                <w:lang w:val="ca-ES" w:eastAsia="ca-ES"/>
              </w:rPr>
              <w:t>____</w:t>
            </w:r>
            <w:r>
              <w:rPr>
                <w:rFonts w:eastAsia="Times New Roman" w:cs="Times New Roman" w:ascii="Noto Sans" w:hAnsi="Noto Sans"/>
                <w:color w:val="000000"/>
                <w:lang w:val="ca-ES" w:eastAsia="ca-ES"/>
              </w:rPr>
              <w:t xml:space="preserve"> d </w:t>
            </w:r>
            <w:r>
              <w:rPr>
                <w:rFonts w:eastAsia="Times New Roman" w:cs="Times New Roman" w:ascii="Noto Sans" w:hAnsi="Noto Sans"/>
                <w:color w:val="595959"/>
                <w:lang w:val="ca-ES" w:eastAsia="ca-ES"/>
              </w:rPr>
              <w:t>_____________</w:t>
            </w:r>
            <w:r>
              <w:rPr>
                <w:rFonts w:eastAsia="Times New Roman" w:cs="Times New Roman" w:ascii="Noto Sans" w:hAnsi="Noto Sans"/>
                <w:color w:val="000000"/>
                <w:lang w:val="ca-ES" w:eastAsia="ca-ES"/>
              </w:rPr>
              <w:t xml:space="preserve"> de 2024</w:t>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000000"/>
                <w:lang w:val="ca-ES" w:eastAsia="ca-ES"/>
              </w:rPr>
              <w:t>El tresorer / La tresorera de l’entitat</w:t>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color w:val="808080" w:themeColor="background1" w:themeShade="80"/>
                <w:sz w:val="24"/>
                <w:szCs w:val="24"/>
                <w:lang w:val="ca-ES" w:eastAsia="ca-ES"/>
              </w:rPr>
            </w:pPr>
            <w:r>
              <w:rPr>
                <w:rFonts w:eastAsia="Times New Roman" w:cs="Times New Roman" w:ascii="Noto Sans" w:hAnsi="Noto Sans"/>
                <w:color w:val="808080" w:themeColor="background1" w:themeShade="80"/>
                <w:sz w:val="16"/>
                <w:szCs w:val="16"/>
                <w:lang w:val="ca-ES" w:eastAsia="ca-ES"/>
              </w:rPr>
              <w:t>[rúbrica]</w:t>
            </w:r>
          </w:p>
          <w:p>
            <w:pPr>
              <w:pStyle w:val="Normal"/>
              <w:spacing w:lineRule="auto" w:line="240" w:before="0" w:after="0"/>
              <w:rPr>
                <w:rFonts w:ascii="Noto Sans" w:hAnsi="Noto Sans" w:eastAsia="Times New Roman" w:cs="Times New Roman"/>
                <w:color w:val="808080" w:themeColor="background1" w:themeShade="80"/>
                <w:sz w:val="24"/>
                <w:szCs w:val="24"/>
                <w:lang w:val="ca-ES" w:eastAsia="ca-ES"/>
              </w:rPr>
            </w:pPr>
            <w:r>
              <w:rPr>
                <w:rFonts w:eastAsia="Times New Roman" w:cs="Times New Roman" w:ascii="Noto Sans" w:hAnsi="Noto Sans"/>
                <w:color w:val="808080" w:themeColor="background1" w:themeShade="80"/>
                <w:sz w:val="24"/>
                <w:szCs w:val="24"/>
                <w:lang w:val="ca-ES" w:eastAsia="ca-ES"/>
              </w:rPr>
            </w:r>
          </w:p>
          <w:p>
            <w:pPr>
              <w:pStyle w:val="Normal"/>
              <w:spacing w:lineRule="auto" w:line="240" w:before="0" w:after="0"/>
              <w:rPr>
                <w:rFonts w:ascii="Noto Sans" w:hAnsi="Noto Sans" w:eastAsia="Times New Roman" w:cs="Times New Roman"/>
                <w:color w:val="808080" w:themeColor="background1" w:themeShade="80"/>
                <w:sz w:val="24"/>
                <w:szCs w:val="24"/>
                <w:lang w:val="ca-ES" w:eastAsia="ca-ES"/>
              </w:rPr>
            </w:pPr>
            <w:r>
              <w:rPr>
                <w:rFonts w:eastAsia="Times New Roman" w:cs="Times New Roman" w:ascii="Noto Sans" w:hAnsi="Noto Sans"/>
                <w:color w:val="808080" w:themeColor="background1" w:themeShade="80"/>
                <w:sz w:val="24"/>
                <w:szCs w:val="24"/>
                <w:lang w:val="ca-ES" w:eastAsia="ca-ES"/>
              </w:rPr>
            </w:r>
          </w:p>
          <w:p>
            <w:pPr>
              <w:pStyle w:val="Normal"/>
              <w:spacing w:lineRule="auto" w:line="240" w:before="0" w:after="0"/>
              <w:rPr>
                <w:rFonts w:ascii="Noto Sans" w:hAnsi="Noto Sans" w:eastAsia="Times New Roman" w:cs="Times New Roman"/>
                <w:color w:val="808080" w:themeColor="background1" w:themeShade="80"/>
                <w:sz w:val="24"/>
                <w:szCs w:val="24"/>
                <w:lang w:val="ca-ES" w:eastAsia="ca-ES"/>
              </w:rPr>
            </w:pPr>
            <w:r>
              <w:rPr>
                <w:rFonts w:eastAsia="Times New Roman" w:cs="Times New Roman" w:ascii="Noto Sans" w:hAnsi="Noto Sans"/>
                <w:color w:val="808080" w:themeColor="background1" w:themeShade="80"/>
                <w:sz w:val="20"/>
                <w:szCs w:val="20"/>
                <w:lang w:val="ca-ES" w:eastAsia="ca-ES"/>
              </w:rPr>
              <w:t>____________________________________________</w:t>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808080" w:themeColor="background1" w:themeShade="80"/>
                <w:sz w:val="16"/>
                <w:szCs w:val="16"/>
                <w:lang w:val="ca-ES" w:eastAsia="ca-ES"/>
              </w:rPr>
              <w:t>[nom i llinatges]</w:t>
            </w:r>
          </w:p>
        </w:tc>
        <w:tc>
          <w:tcPr>
            <w:tcW w:w="4360" w:type="dxa"/>
            <w:tcBorders>
              <w:top w:val="nil"/>
              <w:left w:val="nil"/>
              <w:bottom w:val="nil"/>
              <w:right w:val="nil"/>
              <w:insideH w:val="nil"/>
              <w:insideV w:val="nil"/>
            </w:tcBorders>
            <w:shd w:fill="auto" w:val="clear"/>
          </w:tcPr>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595959"/>
                <w:lang w:val="ca-ES" w:eastAsia="ca-ES"/>
              </w:rPr>
              <w:t>____________</w:t>
            </w:r>
            <w:r>
              <w:rPr>
                <w:rFonts w:eastAsia="Times New Roman" w:cs="Times New Roman" w:ascii="Noto Sans" w:hAnsi="Noto Sans"/>
                <w:color w:val="000000"/>
                <w:lang w:val="ca-ES" w:eastAsia="ca-ES"/>
              </w:rPr>
              <w:t xml:space="preserve">, </w:t>
            </w:r>
            <w:r>
              <w:rPr>
                <w:rFonts w:eastAsia="Times New Roman" w:cs="Times New Roman" w:ascii="Noto Sans" w:hAnsi="Noto Sans"/>
                <w:color w:val="595959"/>
                <w:lang w:val="ca-ES" w:eastAsia="ca-ES"/>
              </w:rPr>
              <w:t>____</w:t>
            </w:r>
            <w:r>
              <w:rPr>
                <w:rFonts w:eastAsia="Times New Roman" w:cs="Times New Roman" w:ascii="Noto Sans" w:hAnsi="Noto Sans"/>
                <w:color w:val="000000"/>
                <w:lang w:val="ca-ES" w:eastAsia="ca-ES"/>
              </w:rPr>
              <w:t xml:space="preserve"> d </w:t>
            </w:r>
            <w:r>
              <w:rPr>
                <w:rFonts w:eastAsia="Times New Roman" w:cs="Times New Roman" w:ascii="Noto Sans" w:hAnsi="Noto Sans"/>
                <w:color w:val="595959"/>
                <w:lang w:val="ca-ES" w:eastAsia="ca-ES"/>
              </w:rPr>
              <w:t>_____________</w:t>
            </w:r>
            <w:r>
              <w:rPr>
                <w:rFonts w:eastAsia="Times New Roman" w:cs="Times New Roman" w:ascii="Noto Sans" w:hAnsi="Noto Sans"/>
                <w:color w:val="000000"/>
                <w:lang w:val="ca-ES" w:eastAsia="ca-ES"/>
              </w:rPr>
              <w:t xml:space="preserve"> de 2024</w:t>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000000"/>
                <w:lang w:val="ca-ES" w:eastAsia="ca-ES"/>
              </w:rPr>
              <w:t>El president / La presidenta de l’entitat</w:t>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color w:val="808080" w:themeColor="background1" w:themeShade="80"/>
                <w:sz w:val="24"/>
                <w:szCs w:val="24"/>
                <w:lang w:val="ca-ES" w:eastAsia="ca-ES"/>
              </w:rPr>
            </w:pPr>
            <w:r>
              <w:rPr>
                <w:rFonts w:eastAsia="Times New Roman" w:cs="Times New Roman" w:ascii="Noto Sans" w:hAnsi="Noto Sans"/>
                <w:color w:val="808080" w:themeColor="background1" w:themeShade="80"/>
                <w:sz w:val="16"/>
                <w:szCs w:val="16"/>
                <w:lang w:val="ca-ES" w:eastAsia="ca-ES"/>
              </w:rPr>
              <w:t>[rúbrica]</w:t>
            </w:r>
          </w:p>
          <w:p>
            <w:pPr>
              <w:pStyle w:val="Normal"/>
              <w:spacing w:lineRule="auto" w:line="240" w:before="0" w:after="0"/>
              <w:rPr>
                <w:rFonts w:ascii="Noto Sans" w:hAnsi="Noto Sans" w:eastAsia="Times New Roman" w:cs="Times New Roman"/>
                <w:color w:val="808080" w:themeColor="background1" w:themeShade="80"/>
                <w:sz w:val="24"/>
                <w:szCs w:val="24"/>
                <w:lang w:val="ca-ES" w:eastAsia="ca-ES"/>
              </w:rPr>
            </w:pPr>
            <w:r>
              <w:rPr>
                <w:rFonts w:eastAsia="Times New Roman" w:cs="Times New Roman" w:ascii="Noto Sans" w:hAnsi="Noto Sans"/>
                <w:color w:val="808080" w:themeColor="background1" w:themeShade="80"/>
                <w:sz w:val="24"/>
                <w:szCs w:val="24"/>
                <w:lang w:val="ca-ES" w:eastAsia="ca-ES"/>
              </w:rPr>
            </w:r>
          </w:p>
          <w:p>
            <w:pPr>
              <w:pStyle w:val="Normal"/>
              <w:spacing w:lineRule="auto" w:line="240" w:before="0" w:after="0"/>
              <w:rPr>
                <w:rFonts w:ascii="Noto Sans" w:hAnsi="Noto Sans" w:eastAsia="Times New Roman" w:cs="Times New Roman"/>
                <w:color w:val="808080" w:themeColor="background1" w:themeShade="80"/>
                <w:sz w:val="20"/>
                <w:szCs w:val="20"/>
                <w:lang w:val="ca-ES" w:eastAsia="ca-ES"/>
              </w:rPr>
            </w:pPr>
            <w:r>
              <w:rPr>
                <w:rFonts w:eastAsia="Times New Roman" w:cs="Times New Roman" w:ascii="Noto Sans" w:hAnsi="Noto Sans"/>
                <w:color w:val="808080" w:themeColor="background1" w:themeShade="80"/>
                <w:sz w:val="20"/>
                <w:szCs w:val="20"/>
                <w:lang w:val="ca-ES" w:eastAsia="ca-ES"/>
              </w:rPr>
            </w:r>
          </w:p>
          <w:p>
            <w:pPr>
              <w:pStyle w:val="Normal"/>
              <w:spacing w:lineRule="auto" w:line="240" w:before="0" w:after="0"/>
              <w:rPr>
                <w:rFonts w:ascii="Noto Sans" w:hAnsi="Noto Sans" w:eastAsia="Times New Roman" w:cs="Times New Roman"/>
                <w:color w:val="808080" w:themeColor="background1" w:themeShade="80"/>
                <w:sz w:val="24"/>
                <w:szCs w:val="24"/>
                <w:lang w:val="ca-ES" w:eastAsia="ca-ES"/>
              </w:rPr>
            </w:pPr>
            <w:r>
              <w:rPr>
                <w:rFonts w:eastAsia="Times New Roman" w:cs="Times New Roman" w:ascii="Noto Sans" w:hAnsi="Noto Sans"/>
                <w:color w:val="808080" w:themeColor="background1" w:themeShade="80"/>
                <w:sz w:val="20"/>
                <w:szCs w:val="20"/>
                <w:lang w:val="ca-ES" w:eastAsia="ca-ES"/>
              </w:rPr>
              <w:t>__________________________________________</w:t>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808080" w:themeColor="background1" w:themeShade="80"/>
                <w:sz w:val="16"/>
                <w:szCs w:val="16"/>
                <w:lang w:val="ca-ES" w:eastAsia="ca-ES"/>
              </w:rPr>
              <w:t>[nom i llinatges]</w:t>
            </w:r>
          </w:p>
        </w:tc>
      </w:tr>
    </w:tbl>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sz w:val="24"/>
          <w:szCs w:val="24"/>
          <w:lang w:val="ca-ES" w:eastAsia="ca-ES"/>
        </w:rPr>
      </w:r>
    </w:p>
    <w:p>
      <w:pPr>
        <w:pStyle w:val="Normal"/>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b/>
          <w:bCs/>
          <w:smallCaps/>
          <w:color w:val="004B99"/>
          <w:lang w:val="ca-ES" w:eastAsia="ca-ES"/>
        </w:rPr>
        <w:t>Recordatori de les obligacions per als beneficiaris d’una subvenció</w:t>
      </w:r>
    </w:p>
    <w:p>
      <w:pPr>
        <w:pStyle w:val="Normal"/>
        <w:spacing w:lineRule="auto" w:line="240" w:before="0" w:after="0"/>
        <w:rPr>
          <w:rFonts w:ascii="Noto Sans" w:hAnsi="Noto Sans" w:eastAsia="Times New Roman" w:cs="Times New Roman"/>
          <w:sz w:val="20"/>
          <w:szCs w:val="20"/>
          <w:lang w:val="ca-ES" w:eastAsia="ca-ES"/>
        </w:rPr>
      </w:pPr>
      <w:r>
        <w:rPr>
          <w:rFonts w:eastAsia="Times New Roman" w:cs="Times New Roman" w:ascii="Noto Sans" w:hAnsi="Noto Sans"/>
          <w:sz w:val="20"/>
          <w:szCs w:val="20"/>
          <w:lang w:val="ca-ES" w:eastAsia="ca-ES"/>
        </w:rPr>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sz w:val="20"/>
          <w:szCs w:val="20"/>
          <w:lang w:val="ca-ES" w:eastAsia="ca-ES"/>
        </w:rPr>
        <w:t>Qualsevol alteració de les condicions tingudes en compte a l’hora de concedir la subvenció i, en tot cas, l’obtenció concurrent de subvencions o ajuts atorgats per altres administracions o ens públics o privats, estatals o internacionals, pot donar lloc a la modificació de la resolució de concessió.</w:t>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sz w:val="20"/>
          <w:szCs w:val="20"/>
          <w:lang w:val="ca-ES" w:eastAsia="ca-ES"/>
        </w:rPr>
        <w:t>L’import de la subvenció que es pugui concedir en cap cas no pot ser d’una quantia que, aïlladament o en concurrència amb subvencions o ajuts d’altres administracions o ens públics o privats, estatals o internacionals, superi el cost de l’activitat que ha de dur a terme el beneficiari.</w:t>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sz w:val="20"/>
          <w:szCs w:val="20"/>
          <w:lang w:val="ca-ES" w:eastAsia="ca-ES"/>
        </w:rPr>
        <w:t>Quan, a més de finançar-se amb la subvenció, les activitats s’hagin finançat amb fons propis o amb altres subvencions o recursos, en el compte justificatiu s’ha d’acreditar l’import, la procedència i l’aplicació d’aquests fons a les activitats subvencionades.</w:t>
      </w:r>
      <w:bookmarkStart w:id="0" w:name="sdfootnote1anc"/>
      <w:bookmarkEnd w:id="0"/>
      <w:r>
        <w:rPr>
          <w:rStyle w:val="Ancladenotaalpie"/>
          <w:rStyle w:val="Ancladenotaalpie"/>
          <w:rFonts w:eastAsia="Times New Roman" w:cs="Times New Roman" w:ascii="Noto Sans" w:hAnsi="Noto Sans"/>
          <w:sz w:val="20"/>
          <w:szCs w:val="20"/>
          <w:lang w:val="ca-ES" w:eastAsia="ca-ES"/>
        </w:rPr>
        <w:footnoteReference w:id="2"/>
      </w:r>
      <w:r>
        <w:rPr>
          <w:rFonts w:eastAsia="Times New Roman" w:cs="Times New Roman" w:ascii="Noto Sans" w:hAnsi="Noto Sans"/>
          <w:sz w:val="24"/>
          <w:szCs w:val="24"/>
          <w:lang w:val="ca-ES" w:eastAsia="ca-ES"/>
        </w:rPr>
        <w:t xml:space="preserve"> </w:t>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 xml:space="preserve">Quan l’import de la despesa subvencionable superi les quanties establertes en la legislació estatal en matèria de contractes del sector públic per als contractes menors, el beneficiari ha de sol·licitar l’oferta de, com a mínim, tres proveïdors </w:t>
      </w:r>
      <w:r>
        <w:rPr>
          <w:rFonts w:eastAsia="Times New Roman" w:cs="Times New Roman" w:ascii="Noto Sans" w:hAnsi="Noto Sans"/>
          <w:sz w:val="20"/>
          <w:szCs w:val="20"/>
          <w:lang w:val="ca-ES" w:eastAsia="ca-ES"/>
        </w:rPr>
        <w:t>diferents</w:t>
      </w:r>
      <w:r>
        <w:rPr>
          <w:rFonts w:eastAsia="Times New Roman" w:cs="Times New Roman" w:ascii="Noto Sans" w:hAnsi="Noto Sans"/>
          <w:color w:val="000000"/>
          <w:sz w:val="20"/>
          <w:szCs w:val="20"/>
          <w:lang w:val="ca-ES" w:eastAsia="ca-ES"/>
        </w:rPr>
        <w:t>, amb caràcter previ a la contracció del compromís per a la prestació del servei o el lliurament del bé.</w:t>
      </w:r>
      <w:bookmarkStart w:id="1" w:name="sdfootnote3anc"/>
      <w:bookmarkEnd w:id="1"/>
      <w:r>
        <w:rPr>
          <w:rStyle w:val="Ancladenotaalpie"/>
          <w:rStyle w:val="Ancladenotaalpie"/>
          <w:rFonts w:eastAsia="Times New Roman" w:cs="Times New Roman" w:ascii="Noto Sans" w:hAnsi="Noto Sans"/>
          <w:color w:val="000000"/>
          <w:sz w:val="20"/>
          <w:szCs w:val="20"/>
          <w:lang w:val="ca-ES" w:eastAsia="ca-ES"/>
        </w:rPr>
        <w:footnoteReference w:id="3"/>
      </w:r>
      <w:r>
        <w:rPr>
          <w:rFonts w:eastAsia="Times New Roman" w:cs="Times New Roman" w:ascii="Noto Sans" w:hAnsi="Noto Sans"/>
          <w:color w:val="000000"/>
          <w:sz w:val="20"/>
          <w:szCs w:val="20"/>
          <w:lang w:val="ca-ES" w:eastAsia="ca-ES"/>
        </w:rPr>
        <w:t xml:space="preserve"> La tria entre les ofertes presentades —que s’han d’aportar en la justificació o, si pertoca, en la sol·licitud de la subvenció— s’ha de fer d’acord amb criteris d’eficiència i economia, i s’ha de justificar expressament en un informe quan no recaigui en la proposta econòmica més avantatjosa.</w:t>
      </w:r>
      <w:r>
        <w:rPr>
          <w:rStyle w:val="Ancladenotaalpie"/>
          <w:rStyle w:val="Ancladenotaalpie"/>
          <w:rFonts w:eastAsia="Times New Roman" w:cs="Times New Roman" w:ascii="Noto Sans" w:hAnsi="Noto Sans"/>
          <w:color w:val="000000"/>
          <w:sz w:val="20"/>
          <w:szCs w:val="20"/>
          <w:lang w:val="ca-ES" w:eastAsia="ca-ES"/>
        </w:rPr>
        <w:footnoteReference w:id="4"/>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sz w:val="20"/>
          <w:szCs w:val="20"/>
          <w:lang w:val="ca-ES" w:eastAsia="ca-ES"/>
        </w:rPr>
        <w:t>El benefi</w:t>
      </w:r>
      <w:r>
        <w:rPr>
          <w:rFonts w:eastAsia="Times New Roman" w:cs="Times New Roman" w:ascii="Noto Sans" w:hAnsi="Noto Sans"/>
          <w:color w:val="000000"/>
          <w:sz w:val="20"/>
          <w:szCs w:val="20"/>
          <w:lang w:val="ca-ES" w:eastAsia="ca-ES"/>
        </w:rPr>
        <w:t xml:space="preserve">ciari únicament pot subcontractar l’activitat subvencionada, totalment o </w:t>
      </w:r>
      <w:r>
        <w:rPr>
          <w:rFonts w:eastAsia="Times New Roman" w:cs="Times New Roman" w:ascii="Noto Sans" w:hAnsi="Noto Sans"/>
          <w:sz w:val="20"/>
          <w:szCs w:val="20"/>
          <w:lang w:val="ca-ES" w:eastAsia="ca-ES"/>
        </w:rPr>
        <w:t>parcialment</w:t>
      </w:r>
      <w:r>
        <w:rPr>
          <w:rFonts w:eastAsia="Times New Roman" w:cs="Times New Roman" w:ascii="Noto Sans" w:hAnsi="Noto Sans"/>
          <w:color w:val="000000"/>
          <w:sz w:val="20"/>
          <w:szCs w:val="20"/>
          <w:lang w:val="ca-ES" w:eastAsia="ca-ES"/>
        </w:rPr>
        <w:t xml:space="preserve">, fins a un percentatge que </w:t>
      </w:r>
      <w:r>
        <w:rPr>
          <w:rFonts w:eastAsia="Times New Roman" w:cs="Times New Roman" w:ascii="Noto Sans" w:hAnsi="Noto Sans"/>
          <w:sz w:val="20"/>
          <w:szCs w:val="20"/>
          <w:lang w:val="ca-ES" w:eastAsia="ca-ES"/>
        </w:rPr>
        <w:t>no</w:t>
      </w:r>
      <w:r>
        <w:rPr>
          <w:rFonts w:eastAsia="Times New Roman" w:cs="Times New Roman" w:ascii="Noto Sans" w:hAnsi="Noto Sans"/>
          <w:color w:val="000000"/>
          <w:sz w:val="20"/>
          <w:szCs w:val="20"/>
          <w:lang w:val="ca-ES" w:eastAsia="ca-ES"/>
        </w:rPr>
        <w:t xml:space="preserve"> superi el 50 % de l’import de l’activitat, sens </w:t>
      </w:r>
      <w:r>
        <w:rPr>
          <w:rFonts w:eastAsia="Times New Roman" w:cs="Times New Roman" w:ascii="Noto Sans" w:hAnsi="Noto Sans"/>
          <w:sz w:val="20"/>
          <w:szCs w:val="20"/>
          <w:lang w:val="ca-ES" w:eastAsia="ca-ES"/>
        </w:rPr>
        <w:t>perjudici</w:t>
      </w:r>
      <w:r>
        <w:rPr>
          <w:rFonts w:eastAsia="Times New Roman" w:cs="Times New Roman" w:ascii="Noto Sans" w:hAnsi="Noto Sans"/>
          <w:color w:val="000000"/>
          <w:sz w:val="20"/>
          <w:szCs w:val="20"/>
          <w:lang w:val="ca-ES" w:eastAsia="ca-ES"/>
        </w:rPr>
        <w:t xml:space="preserve"> que pugui sol·licitar subcontractar per un percentatge superior, cosa que queda a criteri de l’Administració que concedeix l’ajut. En cap cas no es poden subcontractar activitats que, tot i augmentar el cost de l’activitat subvencionada, no aportin valor afegit al contingut de l’activitat.</w:t>
      </w:r>
      <w:r>
        <w:rPr>
          <w:rStyle w:val="Ancladenotaalpie"/>
          <w:rStyle w:val="Ancladenotaalpie"/>
          <w:rFonts w:eastAsia="Times New Roman" w:cs="Times New Roman" w:ascii="Noto Sans" w:hAnsi="Noto Sans"/>
          <w:color w:val="000000"/>
          <w:sz w:val="20"/>
          <w:szCs w:val="20"/>
          <w:lang w:val="ca-ES" w:eastAsia="ca-ES"/>
        </w:rPr>
        <w:footnoteReference w:id="5"/>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 xml:space="preserve">Quan </w:t>
      </w:r>
      <w:r>
        <w:rPr>
          <w:rFonts w:eastAsia="Times New Roman" w:cs="Times New Roman" w:ascii="Noto Sans" w:hAnsi="Noto Sans"/>
          <w:sz w:val="20"/>
          <w:szCs w:val="20"/>
          <w:lang w:val="ca-ES" w:eastAsia="ca-ES"/>
        </w:rPr>
        <w:t>l’activitat</w:t>
      </w:r>
      <w:r>
        <w:rPr>
          <w:rFonts w:eastAsia="Times New Roman" w:cs="Times New Roman" w:ascii="Noto Sans" w:hAnsi="Noto Sans"/>
          <w:color w:val="000000"/>
          <w:sz w:val="20"/>
          <w:szCs w:val="20"/>
          <w:lang w:val="ca-ES" w:eastAsia="ca-ES"/>
        </w:rPr>
        <w:t xml:space="preserve"> concertada amb tercers superi el 20 % de l’import de la subvenció i aquest import sigui superior a 60.000,00 €, la subcontractació està sotmesa al compliment dels requisits següents:</w:t>
      </w:r>
    </w:p>
    <w:p>
      <w:pPr>
        <w:pStyle w:val="Normal"/>
        <w:numPr>
          <w:ilvl w:val="1"/>
          <w:numId w:val="4"/>
        </w:numPr>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Que el contracte es formalitzi per escrit.</w:t>
      </w:r>
    </w:p>
    <w:p>
      <w:pPr>
        <w:pStyle w:val="Normal"/>
        <w:numPr>
          <w:ilvl w:val="1"/>
          <w:numId w:val="4"/>
        </w:numPr>
        <w:spacing w:lineRule="auto" w:line="240" w:before="0" w:after="120"/>
        <w:ind w:left="1434" w:hanging="357"/>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Que l’òrgan que concedeix la subvenció n’autoritzi prèviament la formalització.</w:t>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sz w:val="20"/>
          <w:szCs w:val="20"/>
          <w:lang w:val="ca-ES" w:eastAsia="ca-ES"/>
        </w:rPr>
        <w:t>El beneficiari no pot concertar l’execució total o parcial de les activitats subvencionades:</w:t>
      </w:r>
    </w:p>
    <w:p>
      <w:pPr>
        <w:pStyle w:val="Normal"/>
        <w:numPr>
          <w:ilvl w:val="1"/>
          <w:numId w:val="1"/>
        </w:numPr>
        <w:tabs>
          <w:tab w:val="clear" w:pos="708"/>
        </w:tabs>
        <w:spacing w:lineRule="auto" w:line="240" w:before="0" w:after="0"/>
        <w:ind w:left="851" w:hanging="305"/>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 xml:space="preserve">Amb persones o entitats sotmeses a alguna de les prohibicions de l’article 10 del </w:t>
      </w:r>
      <w:bookmarkStart w:id="2" w:name="_GoBack"/>
      <w:bookmarkEnd w:id="2"/>
      <w:r>
        <w:rPr>
          <w:rFonts w:eastAsia="Times New Roman" w:cs="Times New Roman" w:ascii="Noto Sans" w:hAnsi="Noto Sans"/>
          <w:color w:val="000000"/>
          <w:sz w:val="20"/>
          <w:szCs w:val="20"/>
          <w:lang w:val="ca-ES" w:eastAsia="ca-ES"/>
        </w:rPr>
        <w:t>Text refós de la Llei de subvencions, aprovat pel Decret legislatiu 2/2005, de 28 de desembre.</w:t>
      </w:r>
    </w:p>
    <w:p>
      <w:pPr>
        <w:pStyle w:val="Normal"/>
        <w:numPr>
          <w:ilvl w:val="1"/>
          <w:numId w:val="1"/>
        </w:numPr>
        <w:tabs>
          <w:tab w:val="clear" w:pos="708"/>
        </w:tabs>
        <w:spacing w:lineRule="auto" w:line="240" w:before="0" w:after="0"/>
        <w:ind w:left="851" w:hanging="305"/>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Amb persones o entitats que hagin percebut altres subvencions per dur a terme l’activitat objecte de contractació.</w:t>
      </w:r>
    </w:p>
    <w:p>
      <w:pPr>
        <w:pStyle w:val="Normal"/>
        <w:numPr>
          <w:ilvl w:val="1"/>
          <w:numId w:val="1"/>
        </w:numPr>
        <w:tabs>
          <w:tab w:val="clear" w:pos="708"/>
        </w:tabs>
        <w:spacing w:lineRule="auto" w:line="240" w:before="0" w:after="0"/>
        <w:ind w:left="851" w:hanging="305"/>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Amb intermediaris o assessors els pagaments als quals es defineixin com un percentatge del cost total de l’operació, llevat que el pagament estigui justificat amb referència al valor de mercat del treball efectuat o dels serveis prestats.</w:t>
      </w:r>
    </w:p>
    <w:p>
      <w:pPr>
        <w:pStyle w:val="Normal"/>
        <w:numPr>
          <w:ilvl w:val="1"/>
          <w:numId w:val="1"/>
        </w:numPr>
        <w:tabs>
          <w:tab w:val="clear" w:pos="708"/>
        </w:tabs>
        <w:spacing w:lineRule="auto" w:line="240" w:before="0" w:after="0"/>
        <w:ind w:left="851" w:hanging="305"/>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Amb persones o entitats vinculades amb el beneficiari, llevat que la contractació s’efectuï d’acord amb les condicions normals de mercat i s’obtengui l’autorització prèvia de l’òrgan que concedeix la subvenció.</w:t>
      </w:r>
    </w:p>
    <w:p>
      <w:pPr>
        <w:pStyle w:val="Normal"/>
        <w:numPr>
          <w:ilvl w:val="1"/>
          <w:numId w:val="1"/>
        </w:numPr>
        <w:tabs>
          <w:tab w:val="clear" w:pos="708"/>
        </w:tabs>
        <w:spacing w:lineRule="auto" w:line="240" w:before="0" w:after="120"/>
        <w:ind w:left="850" w:hanging="306"/>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Amb persones o entitats que hagin sol·licitat un ajut o subvenció en la mateixa convocatòria i programa i no l’hagin obtingut perquè no compleixen els requisits o no han assolit la valoració suficient.</w:t>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sz w:val="20"/>
          <w:szCs w:val="20"/>
          <w:lang w:val="ca-ES" w:eastAsia="ca-ES"/>
        </w:rPr>
        <w:t>L’incompliment de les seves obligacions com a beneficiari de la subvenció pot implicar, a més del reintegrament de les quantitats rebudes amb l’interès de demora corresponent, la comissió d’una infracció i la imposició d’una sanció administrativa.</w:t>
      </w:r>
      <w:r>
        <w:rPr>
          <w:rStyle w:val="Ancladenotaalpie"/>
          <w:rStyle w:val="Ancladenotaalpie"/>
          <w:rFonts w:eastAsia="Times New Roman" w:cs="Times New Roman" w:ascii="Noto Sans" w:hAnsi="Noto Sans"/>
          <w:sz w:val="20"/>
          <w:szCs w:val="20"/>
          <w:lang w:val="ca-ES" w:eastAsia="ca-ES"/>
        </w:rPr>
        <w:footnoteReference w:id="6"/>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sz w:val="20"/>
          <w:szCs w:val="20"/>
          <w:lang w:val="ca-ES" w:eastAsia="ca-ES"/>
        </w:rPr>
        <w:t>L’Administració autonòmica comprovarà d’ofici que el beneficiari de la subvenció estigui al corrent de les seves obligacions tributàries i amb la Seguretat Social davant l’Administració General de l’Estat, i de les obligacions tributàries davant la hisenda autonòmica, de conformitat amb l’article 11.</w:t>
      </w:r>
      <w:r>
        <w:rPr>
          <w:rFonts w:eastAsia="Times New Roman" w:cs="Times New Roman" w:ascii="Noto Sans" w:hAnsi="Noto Sans"/>
          <w:i/>
          <w:iCs/>
          <w:sz w:val="20"/>
          <w:szCs w:val="20"/>
          <w:lang w:val="ca-ES" w:eastAsia="ca-ES"/>
        </w:rPr>
        <w:t>f)</w:t>
      </w:r>
      <w:r>
        <w:rPr>
          <w:rFonts w:eastAsia="Times New Roman" w:cs="Times New Roman" w:ascii="Noto Sans" w:hAnsi="Noto Sans"/>
          <w:sz w:val="20"/>
          <w:szCs w:val="20"/>
          <w:lang w:val="ca-ES" w:eastAsia="ca-ES"/>
        </w:rPr>
        <w:t xml:space="preserve"> del Text refós de la Llei de subvencions, aprovat pel Decret legislatiu 2/2005, de 28 de desembre. En el cas que el beneficiari s’oposi expressament que l’Administració faci aquesta comprovació, ell mateix ha d’acreditar que està al corrent d’aquestes obligacions. </w:t>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 xml:space="preserve">A </w:t>
      </w:r>
      <w:r>
        <w:rPr>
          <w:rFonts w:eastAsia="Times New Roman" w:cs="Times New Roman" w:ascii="Noto Sans" w:hAnsi="Noto Sans"/>
          <w:sz w:val="20"/>
          <w:szCs w:val="20"/>
          <w:lang w:val="ca-ES" w:eastAsia="ca-ES"/>
        </w:rPr>
        <w:t>l’efecte</w:t>
      </w:r>
      <w:r>
        <w:rPr>
          <w:rFonts w:eastAsia="Times New Roman" w:cs="Times New Roman" w:ascii="Noto Sans" w:hAnsi="Noto Sans"/>
          <w:color w:val="000000"/>
          <w:sz w:val="20"/>
          <w:szCs w:val="20"/>
          <w:lang w:val="ca-ES" w:eastAsia="ca-ES"/>
        </w:rPr>
        <w:t xml:space="preserve"> de </w:t>
      </w:r>
      <w:r>
        <w:rPr>
          <w:rFonts w:eastAsia="Times New Roman" w:cs="Times New Roman" w:ascii="Noto Sans" w:hAnsi="Noto Sans"/>
          <w:sz w:val="20"/>
          <w:szCs w:val="20"/>
          <w:lang w:val="ca-ES" w:eastAsia="ca-ES"/>
        </w:rPr>
        <w:t>justificar les despeses</w:t>
      </w:r>
      <w:r>
        <w:rPr>
          <w:rFonts w:eastAsia="Times New Roman" w:cs="Times New Roman" w:ascii="Noto Sans" w:hAnsi="Noto Sans"/>
          <w:color w:val="000000"/>
          <w:sz w:val="20"/>
          <w:szCs w:val="20"/>
          <w:lang w:val="ca-ES" w:eastAsia="ca-ES"/>
        </w:rPr>
        <w:t>, les factures i els documents per acreditar-les han de complir els requisits següents:</w:t>
      </w:r>
    </w:p>
    <w:p>
      <w:pPr>
        <w:pStyle w:val="Normal"/>
        <w:numPr>
          <w:ilvl w:val="1"/>
          <w:numId w:val="1"/>
        </w:numPr>
        <w:tabs>
          <w:tab w:val="clear" w:pos="708"/>
        </w:tabs>
        <w:spacing w:lineRule="auto" w:line="240" w:before="0" w:after="0"/>
        <w:ind w:left="851" w:hanging="305"/>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 xml:space="preserve">S’han </w:t>
      </w:r>
      <w:r>
        <w:rPr>
          <w:rFonts w:eastAsia="Times New Roman" w:cs="Times New Roman" w:ascii="Noto Sans" w:hAnsi="Noto Sans"/>
          <w:sz w:val="20"/>
          <w:szCs w:val="20"/>
          <w:lang w:val="ca-ES" w:eastAsia="ca-ES"/>
        </w:rPr>
        <w:t>de</w:t>
      </w:r>
      <w:r>
        <w:rPr>
          <w:rFonts w:eastAsia="Times New Roman" w:cs="Times New Roman" w:ascii="Noto Sans" w:hAnsi="Noto Sans"/>
          <w:color w:val="000000"/>
          <w:sz w:val="20"/>
          <w:szCs w:val="20"/>
          <w:lang w:val="ca-ES" w:eastAsia="ca-ES"/>
        </w:rPr>
        <w:t xml:space="preserve"> presentar les factures i altres documents de valor probatori equivalent i amb validesa en el tràfic jurídic mercantil o amb eficàcia administrativa.</w:t>
      </w:r>
    </w:p>
    <w:p>
      <w:pPr>
        <w:pStyle w:val="Normal"/>
        <w:numPr>
          <w:ilvl w:val="1"/>
          <w:numId w:val="1"/>
        </w:numPr>
        <w:tabs>
          <w:tab w:val="clear" w:pos="708"/>
        </w:tabs>
        <w:spacing w:lineRule="auto" w:line="240" w:before="0" w:after="120"/>
        <w:ind w:left="850" w:hanging="306"/>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 xml:space="preserve">Les factures han de contenir: </w:t>
      </w:r>
    </w:p>
    <w:p>
      <w:pPr>
        <w:pStyle w:val="Normal"/>
        <w:numPr>
          <w:ilvl w:val="1"/>
          <w:numId w:val="5"/>
        </w:numPr>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El nom, l’adreça i el CIF o el NIF de l’entitat.</w:t>
      </w:r>
    </w:p>
    <w:p>
      <w:pPr>
        <w:pStyle w:val="Normal"/>
        <w:numPr>
          <w:ilvl w:val="1"/>
          <w:numId w:val="5"/>
        </w:numPr>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El número de la factura i la data.</w:t>
      </w:r>
    </w:p>
    <w:p>
      <w:pPr>
        <w:pStyle w:val="Normal"/>
        <w:numPr>
          <w:ilvl w:val="1"/>
          <w:numId w:val="5"/>
        </w:numPr>
        <w:spacing w:lineRule="auto" w:line="240" w:before="0" w:after="0"/>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L’expressió detallada del servei prestat o del material subministrat.</w:t>
      </w:r>
    </w:p>
    <w:p>
      <w:pPr>
        <w:pStyle w:val="Normal"/>
        <w:numPr>
          <w:ilvl w:val="1"/>
          <w:numId w:val="5"/>
        </w:numPr>
        <w:spacing w:lineRule="auto" w:line="240" w:before="0" w:after="120"/>
        <w:rPr>
          <w:rFonts w:ascii="Noto Sans" w:hAnsi="Noto Sans" w:eastAsia="Times New Roman" w:cs="Times New Roman"/>
          <w:sz w:val="24"/>
          <w:szCs w:val="24"/>
          <w:lang w:val="ca-ES" w:eastAsia="ca-ES"/>
        </w:rPr>
      </w:pPr>
      <w:r>
        <w:rPr>
          <w:rFonts w:eastAsia="Times New Roman" w:cs="Times New Roman" w:ascii="Noto Sans" w:hAnsi="Noto Sans"/>
          <w:color w:val="000000"/>
          <w:sz w:val="20"/>
          <w:szCs w:val="20"/>
          <w:lang w:val="ca-ES" w:eastAsia="ca-ES"/>
        </w:rPr>
        <w:t>L’adreça i el CIF o el NIF de l’entitat receptora.</w:t>
      </w:r>
    </w:p>
    <w:p>
      <w:pPr>
        <w:pStyle w:val="ListParagraph"/>
        <w:numPr>
          <w:ilvl w:val="0"/>
          <w:numId w:val="3"/>
        </w:numPr>
        <w:tabs>
          <w:tab w:val="clear" w:pos="708"/>
        </w:tabs>
        <w:spacing w:lineRule="auto" w:line="240" w:before="0" w:after="120"/>
        <w:ind w:left="425" w:hanging="425"/>
        <w:contextualSpacing/>
        <w:rPr>
          <w:rFonts w:ascii="Noto Sans" w:hAnsi="Noto Sans" w:eastAsia="Times New Roman" w:cs="Times New Roman"/>
          <w:sz w:val="24"/>
          <w:szCs w:val="24"/>
          <w:lang w:val="ca-ES" w:eastAsia="ca-ES"/>
        </w:rPr>
      </w:pPr>
      <w:r>
        <w:rPr>
          <w:rFonts w:eastAsia="Times New Roman" w:cs="Times New Roman" w:ascii="Noto Sans" w:hAnsi="Noto Sans"/>
          <w:sz w:val="20"/>
          <w:szCs w:val="20"/>
          <w:lang w:val="ca-ES" w:eastAsia="ca-ES"/>
        </w:rPr>
        <w:t xml:space="preserve">Es </w:t>
      </w:r>
      <w:r>
        <w:rPr>
          <w:rFonts w:eastAsia="Times New Roman" w:cs="Times New Roman" w:ascii="Noto Sans" w:hAnsi="Noto Sans"/>
          <w:color w:val="000000"/>
          <w:sz w:val="20"/>
          <w:szCs w:val="20"/>
          <w:lang w:val="ca-ES" w:eastAsia="ca-ES"/>
        </w:rPr>
        <w:t>considerarà</w:t>
      </w:r>
      <w:r>
        <w:rPr>
          <w:rFonts w:eastAsia="Times New Roman" w:cs="Times New Roman" w:ascii="Noto Sans" w:hAnsi="Noto Sans"/>
          <w:sz w:val="20"/>
          <w:szCs w:val="20"/>
          <w:lang w:val="ca-ES" w:eastAsia="ca-ES"/>
        </w:rPr>
        <w:t xml:space="preserve"> despesa efectuada la que hagi estat efectivament pagada abans que acabi el termini de justificació que estableixi la resolució de concessió, llevat que la resolució de concessió estableixi expressament una altra cosa.</w:t>
      </w:r>
    </w:p>
    <w:p>
      <w:pPr>
        <w:pStyle w:val="ListParagraph"/>
        <w:numPr>
          <w:ilvl w:val="0"/>
          <w:numId w:val="3"/>
        </w:numPr>
        <w:tabs>
          <w:tab w:val="clear" w:pos="708"/>
        </w:tabs>
        <w:spacing w:lineRule="auto" w:line="240" w:before="0" w:after="120"/>
        <w:ind w:left="425" w:hanging="425"/>
        <w:contextualSpacing/>
        <w:rPr/>
      </w:pPr>
      <w:r>
        <w:rPr>
          <w:rFonts w:eastAsia="Times New Roman" w:cs="Times New Roman" w:ascii="Noto Sans" w:hAnsi="Noto Sans"/>
          <w:sz w:val="20"/>
          <w:szCs w:val="20"/>
          <w:lang w:val="ca-ES" w:eastAsia="ca-ES"/>
        </w:rPr>
        <w:t>Una vegada justificada la subvenció, i en el marc de les actuacions de comprovació, l’Administració durà a terme l’acte de liquidació.</w:t>
      </w:r>
      <w:r>
        <w:rPr>
          <w:rStyle w:val="Ancladenotaalpie"/>
          <w:rStyle w:val="Ancladenotaalpie"/>
          <w:rFonts w:eastAsia="Times New Roman" w:cs="Times New Roman" w:ascii="Noto Sans" w:hAnsi="Noto Sans"/>
          <w:sz w:val="20"/>
          <w:szCs w:val="20"/>
          <w:lang w:val="ca-ES" w:eastAsia="ca-ES"/>
        </w:rPr>
        <w:footnoteReference w:id="7"/>
      </w:r>
    </w:p>
    <w:sectPr>
      <w:footnotePr>
        <w:numFmt w:val="decimal"/>
      </w:footnotePr>
      <w:type w:val="nextPage"/>
      <w:pgSz w:w="11906" w:h="16838"/>
      <w:pgMar w:left="1701" w:right="1701" w:header="0" w:top="1418" w:footer="0" w:bottom="1418"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Segoe UI">
    <w:charset w:val="00"/>
    <w:family w:val="roman"/>
    <w:pitch w:val="variable"/>
  </w:font>
  <w:font w:name="Noto Sans">
    <w:charset w:val="00"/>
    <w:family w:val="roman"/>
    <w:pitch w:val="variable"/>
  </w:font>
  <w:font w:name="Liberation Sans">
    <w:altName w:val="Arial"/>
    <w:charset w:val="00"/>
    <w:family w:val="roman"/>
    <w:pitch w:val="variable"/>
  </w:font>
  <w:font w:name="Wingdings">
    <w:charset w:val="02"/>
    <w:family w:val="auto"/>
    <w:pitch w:val="variable"/>
  </w:font>
  <w:font w:name="Noto Sans">
    <w:charset w:val="01"/>
    <w:family w:val="swiss"/>
    <w:pitch w:val="variable"/>
  </w:font>
  <w:font w:name="Courier New">
    <w:charset w:val="01"/>
    <w:family w:val="modern"/>
    <w:pitch w:val="fixed"/>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ie"/>
        <w:rPr/>
      </w:pPr>
      <w:r>
        <w:rPr>
          <w:rStyle w:val="Caracteresdenotaalpie"/>
        </w:rPr>
        <w:footnoteRef/>
      </w:r>
      <w:r>
        <w:rPr>
          <w:rFonts w:ascii="Noto Sans" w:hAnsi="Noto Sans"/>
          <w:sz w:val="16"/>
          <w:szCs w:val="16"/>
        </w:rPr>
        <w:t xml:space="preserve">. </w:t>
      </w:r>
      <w:r>
        <w:rPr>
          <w:rFonts w:eastAsia="Times New Roman" w:cs="Times New Roman" w:ascii="Noto Sans" w:hAnsi="Noto Sans"/>
          <w:color w:val="000000"/>
          <w:sz w:val="16"/>
          <w:szCs w:val="16"/>
          <w:lang w:val="ca-ES" w:eastAsia="ca-ES"/>
        </w:rPr>
        <w:t>Segons disposa l’article 39 del Text refós de la Llei de subvencions, aprovat pel Decret legislatiu 2/2005, de 28 de desembre.</w:t>
      </w:r>
    </w:p>
  </w:footnote>
  <w:footnote w:id="3">
    <w:p>
      <w:pPr>
        <w:pStyle w:val="Notaalpie"/>
        <w:rPr/>
      </w:pPr>
      <w:r>
        <w:rPr>
          <w:rStyle w:val="Caracteresdenotaalpie"/>
        </w:rPr>
        <w:footnoteRef/>
      </w:r>
      <w:r>
        <w:rPr>
          <w:rFonts w:ascii="Noto Sans" w:hAnsi="Noto Sans"/>
          <w:sz w:val="16"/>
          <w:szCs w:val="16"/>
        </w:rPr>
        <w:t xml:space="preserve">. </w:t>
      </w:r>
      <w:r>
        <w:rPr>
          <w:rFonts w:eastAsia="Times New Roman" w:cs="Times New Roman" w:ascii="Noto Sans" w:hAnsi="Noto Sans"/>
          <w:color w:val="000000"/>
          <w:sz w:val="16"/>
          <w:szCs w:val="16"/>
          <w:lang w:val="ca-ES" w:eastAsia="ca-ES"/>
        </w:rPr>
        <w:t>Amb les excepcions (1) que per les característiques especials de les despeses subvencionables no hi hagi en el mercat un nombre suficient d’entitats que el prestin o el subministrin, o (2) que la despesa s’hagi efectuat abans de sol·licitar la subvenció.</w:t>
      </w:r>
    </w:p>
  </w:footnote>
  <w:footnote w:id="4">
    <w:p>
      <w:pPr>
        <w:pStyle w:val="Notaalpie"/>
        <w:rPr/>
      </w:pPr>
      <w:r>
        <w:rPr>
          <w:rStyle w:val="Caracteresdenotaalpie"/>
        </w:rPr>
        <w:footnoteRef/>
      </w:r>
      <w:r>
        <w:rPr>
          <w:rFonts w:ascii="Noto Sans" w:hAnsi="Noto Sans"/>
          <w:sz w:val="16"/>
          <w:szCs w:val="16"/>
        </w:rPr>
        <w:t xml:space="preserve">. </w:t>
      </w:r>
      <w:r>
        <w:rPr>
          <w:rFonts w:eastAsia="Times New Roman" w:cs="Times New Roman" w:ascii="Noto Sans" w:hAnsi="Noto Sans"/>
          <w:color w:val="000000"/>
          <w:sz w:val="16"/>
          <w:szCs w:val="16"/>
          <w:lang w:val="ca-ES" w:eastAsia="ca-ES"/>
        </w:rPr>
        <w:t>Segons l’article 40 del Text refós de la Llei de subvencions, aprovat pel Decret legislatiu 2/2005, de 28 de desembre.</w:t>
      </w:r>
    </w:p>
  </w:footnote>
  <w:footnote w:id="5">
    <w:p>
      <w:pPr>
        <w:pStyle w:val="Notaalpie"/>
        <w:rPr/>
      </w:pPr>
      <w:r>
        <w:rPr>
          <w:rStyle w:val="Caracteresdenotaalpie"/>
        </w:rPr>
        <w:footnoteRef/>
      </w:r>
      <w:r>
        <w:rPr>
          <w:rFonts w:ascii="Noto Sans" w:hAnsi="Noto Sans"/>
          <w:sz w:val="16"/>
          <w:szCs w:val="16"/>
        </w:rPr>
        <w:t xml:space="preserve">. </w:t>
      </w:r>
      <w:r>
        <w:rPr>
          <w:rFonts w:eastAsia="Times New Roman" w:cs="Times New Roman" w:ascii="Noto Sans" w:hAnsi="Noto Sans"/>
          <w:color w:val="000000"/>
          <w:sz w:val="16"/>
          <w:szCs w:val="16"/>
          <w:lang w:val="ca-ES" w:eastAsia="ca-ES"/>
        </w:rPr>
        <w:t>Segons l’article 38 del Text refós de la Llei de subvencions, aprovat pel Decret legislatiu 2/2005, de 28 de desembre.</w:t>
      </w:r>
    </w:p>
  </w:footnote>
  <w:footnote w:id="6">
    <w:p>
      <w:pPr>
        <w:pStyle w:val="Normal"/>
        <w:spacing w:lineRule="auto" w:line="240" w:before="0" w:after="0"/>
        <w:rPr/>
      </w:pPr>
      <w:r>
        <w:rPr>
          <w:rStyle w:val="Caracteresdenotaalpie"/>
        </w:rPr>
        <w:footnoteRef/>
      </w:r>
      <w:r>
        <w:rPr>
          <w:rFonts w:ascii="Noto Sans" w:hAnsi="Noto Sans"/>
          <w:sz w:val="16"/>
          <w:szCs w:val="16"/>
        </w:rPr>
        <w:t xml:space="preserve">. </w:t>
      </w:r>
      <w:r>
        <w:rPr>
          <w:rFonts w:eastAsia="Times New Roman" w:cs="Times New Roman" w:ascii="Noto Sans" w:hAnsi="Noto Sans"/>
          <w:color w:val="000000"/>
          <w:sz w:val="16"/>
          <w:szCs w:val="16"/>
          <w:lang w:val="ca-ES" w:eastAsia="ca-ES"/>
        </w:rPr>
        <w:t>En els termes establerts en l’article 44 i en el títol V del Text refós de la Llei de subvencions, aprovat pel Decret legislatiu 2/2005, de 28 de desembre.</w:t>
      </w:r>
    </w:p>
  </w:footnote>
  <w:footnote w:id="7">
    <w:p>
      <w:pPr>
        <w:pStyle w:val="Notaalpie"/>
        <w:rPr/>
      </w:pPr>
      <w:r>
        <w:rPr>
          <w:rStyle w:val="Caracteresdenotaalpie"/>
        </w:rPr>
        <w:footnoteRef/>
      </w:r>
      <w:r>
        <w:rPr>
          <w:rFonts w:ascii="Noto Sans" w:hAnsi="Noto Sans"/>
          <w:sz w:val="16"/>
          <w:szCs w:val="16"/>
        </w:rPr>
        <w:t xml:space="preserve">. </w:t>
      </w:r>
      <w:r>
        <w:rPr>
          <w:rFonts w:eastAsia="Times New Roman" w:cs="Times New Roman" w:ascii="Noto Sans" w:hAnsi="Noto Sans"/>
          <w:color w:val="000000"/>
          <w:sz w:val="16"/>
          <w:szCs w:val="16"/>
          <w:lang w:val="ca-ES" w:eastAsia="ca-ES"/>
        </w:rPr>
        <w:t>D’acord amb els articles 36 i 42 bis del Text refós de la Llei de subvencions, aprovat pel Decret legislatiu 2/2005, de 28 de desembre.</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sz w:val="20"/>
        <w:rFonts w:cs="Symbol"/>
      </w:rPr>
    </w:lvl>
    <w:lvl w:ilvl="1">
      <w:start w:val="1"/>
      <w:numFmt w:val="bullet"/>
      <w:lvlText w:val=""/>
      <w:lvlJc w:val="left"/>
      <w:pPr>
        <w:tabs>
          <w:tab w:val="num" w:pos="1440"/>
        </w:tabs>
        <w:ind w:left="1440" w:hanging="360"/>
      </w:pPr>
      <w:rPr>
        <w:rFonts w:ascii="Symbol" w:hAnsi="Symbol" w:cs="Symbol" w:hint="default"/>
        <w:sz w:val="24"/>
        <w:rFonts w:cs="Symbol"/>
      </w:rPr>
    </w:lvl>
    <w:lvl w:ilvl="2">
      <w:start w:val="1"/>
      <w:numFmt w:val="bullet"/>
      <w:lvlText w:val=""/>
      <w:lvlJc w:val="left"/>
      <w:pPr>
        <w:tabs>
          <w:tab w:val="num" w:pos="2160"/>
        </w:tabs>
        <w:ind w:left="2160" w:hanging="360"/>
      </w:pPr>
      <w:rPr>
        <w:rFonts w:ascii="Wingdings" w:hAnsi="Wingdings" w:cs="Wingdings" w:hint="default"/>
        <w:sz w:val="20"/>
        <w:rFonts w:cs="Wingdings"/>
      </w:rPr>
    </w:lvl>
    <w:lvl w:ilvl="3">
      <w:start w:val="1"/>
      <w:numFmt w:val="bullet"/>
      <w:lvlText w:val=""/>
      <w:lvlJc w:val="left"/>
      <w:pPr>
        <w:tabs>
          <w:tab w:val="num" w:pos="2880"/>
        </w:tabs>
        <w:ind w:left="2880" w:hanging="360"/>
      </w:pPr>
      <w:rPr>
        <w:rFonts w:ascii="Wingdings" w:hAnsi="Wingdings" w:cs="Wingdings" w:hint="default"/>
        <w:sz w:val="20"/>
        <w:rFonts w:cs="Wingdings"/>
      </w:rPr>
    </w:lvl>
    <w:lvl w:ilvl="4">
      <w:start w:val="1"/>
      <w:numFmt w:val="bullet"/>
      <w:lvlText w:val=""/>
      <w:lvlJc w:val="left"/>
      <w:pPr>
        <w:tabs>
          <w:tab w:val="num" w:pos="3600"/>
        </w:tabs>
        <w:ind w:left="3600" w:hanging="360"/>
      </w:pPr>
      <w:rPr>
        <w:rFonts w:ascii="Wingdings" w:hAnsi="Wingdings" w:cs="Wingdings" w:hint="default"/>
        <w:sz w:val="20"/>
        <w:rFonts w:cs="Wingdings"/>
      </w:rPr>
    </w:lvl>
    <w:lvl w:ilvl="5">
      <w:start w:val="1"/>
      <w:numFmt w:val="bullet"/>
      <w:lvlText w:val=""/>
      <w:lvlJc w:val="left"/>
      <w:pPr>
        <w:tabs>
          <w:tab w:val="num" w:pos="4320"/>
        </w:tabs>
        <w:ind w:left="4320" w:hanging="360"/>
      </w:pPr>
      <w:rPr>
        <w:rFonts w:ascii="Wingdings" w:hAnsi="Wingdings" w:cs="Wingdings" w:hint="default"/>
        <w:sz w:val="20"/>
        <w:rFonts w:cs="Wingdings"/>
      </w:rPr>
    </w:lvl>
    <w:lvl w:ilvl="6">
      <w:start w:val="1"/>
      <w:numFmt w:val="bullet"/>
      <w:lvlText w:val=""/>
      <w:lvlJc w:val="left"/>
      <w:pPr>
        <w:tabs>
          <w:tab w:val="num" w:pos="5040"/>
        </w:tabs>
        <w:ind w:left="5040" w:hanging="360"/>
      </w:pPr>
      <w:rPr>
        <w:rFonts w:ascii="Wingdings" w:hAnsi="Wingdings" w:cs="Wingdings" w:hint="default"/>
        <w:sz w:val="20"/>
        <w:rFonts w:cs="Wingdings"/>
      </w:rPr>
    </w:lvl>
    <w:lvl w:ilvl="7">
      <w:start w:val="1"/>
      <w:numFmt w:val="bullet"/>
      <w:lvlText w:val=""/>
      <w:lvlJc w:val="left"/>
      <w:pPr>
        <w:tabs>
          <w:tab w:val="num" w:pos="5760"/>
        </w:tabs>
        <w:ind w:left="5760" w:hanging="360"/>
      </w:pPr>
      <w:rPr>
        <w:rFonts w:ascii="Wingdings" w:hAnsi="Wingdings" w:cs="Wingdings" w:hint="default"/>
        <w:sz w:val="20"/>
        <w:rFonts w:cs="Wingdings"/>
      </w:rPr>
    </w:lvl>
    <w:lvl w:ilvl="8">
      <w:start w:val="1"/>
      <w:numFmt w:val="bullet"/>
      <w:lvlText w:val=""/>
      <w:lvlJc w:val="left"/>
      <w:pPr>
        <w:tabs>
          <w:tab w:val="num" w:pos="6480"/>
        </w:tabs>
        <w:ind w:left="6480" w:hanging="360"/>
      </w:pPr>
      <w:rPr>
        <w:rFonts w:ascii="Wingdings" w:hAnsi="Wingdings" w:cs="Wingdings" w:hint="default"/>
        <w:sz w:val="20"/>
        <w:rFonts w:cs="Wingdings"/>
      </w:rPr>
    </w:lvl>
  </w:abstractNum>
  <w:abstractNum w:abstractNumI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bullet"/>
      <w:lvlText w:val="—"/>
      <w:lvlJc w:val="left"/>
      <w:pPr>
        <w:tabs>
          <w:tab w:val="num" w:pos="720"/>
        </w:tabs>
        <w:ind w:left="720" w:hanging="360"/>
      </w:pPr>
      <w:rPr>
        <w:rFonts w:ascii="Noto Sans" w:hAnsi="Noto Sans" w:cs="Noto Sans" w:hint="default"/>
        <w:sz w:val="24"/>
        <w:rFonts w:cs="Noto Sans"/>
      </w:rPr>
    </w:lvl>
    <w:lvl w:ilvl="1">
      <w:start w:val="1"/>
      <w:numFmt w:val="bullet"/>
      <w:lvlText w:val="o"/>
      <w:lvlJc w:val="left"/>
      <w:pPr>
        <w:tabs>
          <w:tab w:val="num" w:pos="1440"/>
        </w:tabs>
        <w:ind w:left="1440" w:hanging="360"/>
      </w:pPr>
      <w:rPr>
        <w:rFonts w:ascii="Courier New" w:hAnsi="Courier New" w:cs="Courier New" w:hint="default"/>
        <w:sz w:val="20"/>
        <w:rFonts w:cs="Courier New"/>
      </w:rPr>
    </w:lvl>
    <w:lvl w:ilvl="2">
      <w:start w:val="1"/>
      <w:numFmt w:val="bullet"/>
      <w:lvlText w:val=""/>
      <w:lvlJc w:val="left"/>
      <w:pPr>
        <w:tabs>
          <w:tab w:val="num" w:pos="2160"/>
        </w:tabs>
        <w:ind w:left="2160" w:hanging="360"/>
      </w:pPr>
      <w:rPr>
        <w:rFonts w:ascii="Wingdings" w:hAnsi="Wingdings" w:cs="Wingdings" w:hint="default"/>
        <w:sz w:val="20"/>
        <w:rFonts w:cs="Wingdings"/>
      </w:rPr>
    </w:lvl>
    <w:lvl w:ilvl="3">
      <w:start w:val="1"/>
      <w:numFmt w:val="bullet"/>
      <w:lvlText w:val=""/>
      <w:lvlJc w:val="left"/>
      <w:pPr>
        <w:tabs>
          <w:tab w:val="num" w:pos="2880"/>
        </w:tabs>
        <w:ind w:left="2880" w:hanging="360"/>
      </w:pPr>
      <w:rPr>
        <w:rFonts w:ascii="Wingdings" w:hAnsi="Wingdings" w:cs="Wingdings" w:hint="default"/>
        <w:sz w:val="20"/>
        <w:rFonts w:cs="Wingdings"/>
      </w:rPr>
    </w:lvl>
    <w:lvl w:ilvl="4">
      <w:start w:val="1"/>
      <w:numFmt w:val="bullet"/>
      <w:lvlText w:val=""/>
      <w:lvlJc w:val="left"/>
      <w:pPr>
        <w:tabs>
          <w:tab w:val="num" w:pos="3600"/>
        </w:tabs>
        <w:ind w:left="3600" w:hanging="360"/>
      </w:pPr>
      <w:rPr>
        <w:rFonts w:ascii="Wingdings" w:hAnsi="Wingdings" w:cs="Wingdings" w:hint="default"/>
        <w:sz w:val="20"/>
        <w:rFonts w:cs="Wingdings"/>
      </w:rPr>
    </w:lvl>
    <w:lvl w:ilvl="5">
      <w:start w:val="1"/>
      <w:numFmt w:val="bullet"/>
      <w:lvlText w:val=""/>
      <w:lvlJc w:val="left"/>
      <w:pPr>
        <w:tabs>
          <w:tab w:val="num" w:pos="4320"/>
        </w:tabs>
        <w:ind w:left="4320" w:hanging="360"/>
      </w:pPr>
      <w:rPr>
        <w:rFonts w:ascii="Wingdings" w:hAnsi="Wingdings" w:cs="Wingdings" w:hint="default"/>
        <w:sz w:val="20"/>
        <w:rFonts w:cs="Wingdings"/>
      </w:rPr>
    </w:lvl>
    <w:lvl w:ilvl="6">
      <w:start w:val="1"/>
      <w:numFmt w:val="bullet"/>
      <w:lvlText w:val=""/>
      <w:lvlJc w:val="left"/>
      <w:pPr>
        <w:tabs>
          <w:tab w:val="num" w:pos="5040"/>
        </w:tabs>
        <w:ind w:left="5040" w:hanging="360"/>
      </w:pPr>
      <w:rPr>
        <w:rFonts w:ascii="Wingdings" w:hAnsi="Wingdings" w:cs="Wingdings" w:hint="default"/>
        <w:sz w:val="20"/>
        <w:rFonts w:cs="Wingdings"/>
      </w:rPr>
    </w:lvl>
    <w:lvl w:ilvl="7">
      <w:start w:val="1"/>
      <w:numFmt w:val="bullet"/>
      <w:lvlText w:val=""/>
      <w:lvlJc w:val="left"/>
      <w:pPr>
        <w:tabs>
          <w:tab w:val="num" w:pos="5760"/>
        </w:tabs>
        <w:ind w:left="5760" w:hanging="360"/>
      </w:pPr>
      <w:rPr>
        <w:rFonts w:ascii="Wingdings" w:hAnsi="Wingdings" w:cs="Wingdings" w:hint="default"/>
        <w:sz w:val="20"/>
        <w:rFonts w:cs="Wingdings"/>
      </w:rPr>
    </w:lvl>
    <w:lvl w:ilvl="8">
      <w:start w:val="1"/>
      <w:numFmt w:val="bullet"/>
      <w:lvlText w:val=""/>
      <w:lvlJc w:val="left"/>
      <w:pPr>
        <w:tabs>
          <w:tab w:val="num" w:pos="6480"/>
        </w:tabs>
        <w:ind w:left="6480" w:hanging="360"/>
      </w:pPr>
      <w:rPr>
        <w:rFonts w:ascii="Wingdings" w:hAnsi="Wingdings" w:cs="Wingdings" w:hint="default"/>
        <w:sz w:val="20"/>
        <w:rFonts w:cs="Wingdings"/>
      </w:rPr>
    </w:lvl>
  </w:abstractNum>
  <w:abstractNum w:abstractNumId="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sz w:val="24"/>
        <w:i/>
        <w:szCs w:val="20"/>
        <w:rFonts w:ascii="Noto Sans" w:hAnsi="Noto Sans"/>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lvl w:ilvl="0">
      <w:start w:val="1"/>
      <w:numFmt w:val="bullet"/>
      <w:lvlText w:val=""/>
      <w:lvlJc w:val="left"/>
      <w:pPr>
        <w:tabs>
          <w:tab w:val="num" w:pos="720"/>
        </w:tabs>
        <w:ind w:left="720" w:hanging="360"/>
      </w:pPr>
      <w:rPr>
        <w:rFonts w:ascii="Symbol" w:hAnsi="Symbol" w:cs="Symbol" w:hint="default"/>
        <w:sz w:val="20"/>
        <w:rFonts w:cs="Symbol"/>
      </w:rPr>
    </w:lvl>
    <w:lvl w:ilvl="1">
      <w:start w:val="1"/>
      <w:numFmt w:val="bullet"/>
      <w:lvlText w:val="–"/>
      <w:lvlJc w:val="left"/>
      <w:pPr>
        <w:tabs>
          <w:tab w:val="num" w:pos="1440"/>
        </w:tabs>
        <w:ind w:left="1440" w:hanging="360"/>
      </w:pPr>
      <w:rPr>
        <w:rFonts w:ascii="Noto Sans" w:hAnsi="Noto Sans" w:cs="Noto Sans" w:hint="default"/>
        <w:sz w:val="24"/>
        <w:rFonts w:cs="Noto Sans"/>
      </w:rPr>
    </w:lvl>
    <w:lvl w:ilvl="2">
      <w:start w:val="1"/>
      <w:numFmt w:val="bullet"/>
      <w:lvlText w:val=""/>
      <w:lvlJc w:val="left"/>
      <w:pPr>
        <w:tabs>
          <w:tab w:val="num" w:pos="2160"/>
        </w:tabs>
        <w:ind w:left="2160" w:hanging="360"/>
      </w:pPr>
      <w:rPr>
        <w:rFonts w:ascii="Wingdings" w:hAnsi="Wingdings" w:cs="Wingdings" w:hint="default"/>
        <w:sz w:val="20"/>
        <w:rFonts w:cs="Wingdings"/>
      </w:rPr>
    </w:lvl>
    <w:lvl w:ilvl="3">
      <w:start w:val="1"/>
      <w:numFmt w:val="bullet"/>
      <w:lvlText w:val=""/>
      <w:lvlJc w:val="left"/>
      <w:pPr>
        <w:tabs>
          <w:tab w:val="num" w:pos="2880"/>
        </w:tabs>
        <w:ind w:left="2880" w:hanging="360"/>
      </w:pPr>
      <w:rPr>
        <w:rFonts w:ascii="Wingdings" w:hAnsi="Wingdings" w:cs="Wingdings" w:hint="default"/>
        <w:sz w:val="20"/>
        <w:rFonts w:cs="Wingdings"/>
      </w:rPr>
    </w:lvl>
    <w:lvl w:ilvl="4">
      <w:start w:val="1"/>
      <w:numFmt w:val="bullet"/>
      <w:lvlText w:val=""/>
      <w:lvlJc w:val="left"/>
      <w:pPr>
        <w:tabs>
          <w:tab w:val="num" w:pos="3600"/>
        </w:tabs>
        <w:ind w:left="3600" w:hanging="360"/>
      </w:pPr>
      <w:rPr>
        <w:rFonts w:ascii="Wingdings" w:hAnsi="Wingdings" w:cs="Wingdings" w:hint="default"/>
        <w:sz w:val="20"/>
        <w:rFonts w:cs="Wingdings"/>
      </w:rPr>
    </w:lvl>
    <w:lvl w:ilvl="5">
      <w:start w:val="1"/>
      <w:numFmt w:val="bullet"/>
      <w:lvlText w:val=""/>
      <w:lvlJc w:val="left"/>
      <w:pPr>
        <w:tabs>
          <w:tab w:val="num" w:pos="4320"/>
        </w:tabs>
        <w:ind w:left="4320" w:hanging="360"/>
      </w:pPr>
      <w:rPr>
        <w:rFonts w:ascii="Wingdings" w:hAnsi="Wingdings" w:cs="Wingdings" w:hint="default"/>
        <w:sz w:val="20"/>
        <w:rFonts w:cs="Wingdings"/>
      </w:rPr>
    </w:lvl>
    <w:lvl w:ilvl="6">
      <w:start w:val="1"/>
      <w:numFmt w:val="bullet"/>
      <w:lvlText w:val=""/>
      <w:lvlJc w:val="left"/>
      <w:pPr>
        <w:tabs>
          <w:tab w:val="num" w:pos="5040"/>
        </w:tabs>
        <w:ind w:left="5040" w:hanging="360"/>
      </w:pPr>
      <w:rPr>
        <w:rFonts w:ascii="Wingdings" w:hAnsi="Wingdings" w:cs="Wingdings" w:hint="default"/>
        <w:sz w:val="20"/>
        <w:rFonts w:cs="Wingdings"/>
      </w:rPr>
    </w:lvl>
    <w:lvl w:ilvl="7">
      <w:start w:val="1"/>
      <w:numFmt w:val="bullet"/>
      <w:lvlText w:val=""/>
      <w:lvlJc w:val="left"/>
      <w:pPr>
        <w:tabs>
          <w:tab w:val="num" w:pos="5760"/>
        </w:tabs>
        <w:ind w:left="5760" w:hanging="360"/>
      </w:pPr>
      <w:rPr>
        <w:rFonts w:ascii="Wingdings" w:hAnsi="Wingdings" w:cs="Wingdings" w:hint="default"/>
        <w:sz w:val="20"/>
        <w:rFonts w:cs="Wingdings"/>
      </w:rPr>
    </w:lvl>
    <w:lvl w:ilvl="8">
      <w:start w:val="1"/>
      <w:numFmt w:val="bullet"/>
      <w:lvlText w:val=""/>
      <w:lvlJc w:val="left"/>
      <w:pPr>
        <w:tabs>
          <w:tab w:val="num" w:pos="6480"/>
        </w:tabs>
        <w:ind w:left="6480" w:hanging="360"/>
      </w:pPr>
      <w:rPr>
        <w:rFonts w:ascii="Wingdings" w:hAnsi="Wingdings" w:cs="Wingdings" w:hint="default"/>
        <w:sz w:val="20"/>
        <w:rFonts w:cs="Wingdings"/>
      </w:rPr>
    </w:lvl>
  </w:abstractNum>
  <w:abstractNum w:abstractNumId="6">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60"/>
  <w:defaultTabStop w:val="708"/>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875c2"/>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extocomentarioCar" w:customStyle="1">
    <w:name w:val="Texto comentario Car"/>
    <w:basedOn w:val="DefaultParagraphFont"/>
    <w:link w:val="Textocomentario"/>
    <w:uiPriority w:val="99"/>
    <w:semiHidden/>
    <w:qFormat/>
    <w:rsid w:val="002b7659"/>
    <w:rPr>
      <w:sz w:val="20"/>
      <w:szCs w:val="20"/>
    </w:rPr>
  </w:style>
  <w:style w:type="character" w:styleId="EnlacedeInternet">
    <w:name w:val="Enlace de Internet"/>
    <w:basedOn w:val="DefaultParagraphFont"/>
    <w:uiPriority w:val="99"/>
    <w:semiHidden/>
    <w:unhideWhenUsed/>
    <w:rsid w:val="0055236d"/>
    <w:rPr>
      <w:color w:val="000080"/>
      <w:u w:val="single"/>
    </w:rPr>
  </w:style>
  <w:style w:type="character" w:styleId="TextonotapieCar" w:customStyle="1">
    <w:name w:val="Texto nota pie Car"/>
    <w:basedOn w:val="DefaultParagraphFont"/>
    <w:link w:val="Textonotapie"/>
    <w:uiPriority w:val="99"/>
    <w:semiHidden/>
    <w:qFormat/>
    <w:rsid w:val="00560c36"/>
    <w:rPr>
      <w:sz w:val="20"/>
      <w:szCs w:val="20"/>
    </w:rPr>
  </w:style>
  <w:style w:type="character" w:styleId="Ancladenotaalpie">
    <w:name w:val="Ancla de nota al pie"/>
    <w:rPr>
      <w:vertAlign w:val="superscript"/>
    </w:rPr>
  </w:style>
  <w:style w:type="character" w:styleId="FootnoteCharacters">
    <w:name w:val="Footnote Characters"/>
    <w:basedOn w:val="DefaultParagraphFont"/>
    <w:uiPriority w:val="99"/>
    <w:semiHidden/>
    <w:unhideWhenUsed/>
    <w:qFormat/>
    <w:rsid w:val="00560c36"/>
    <w:rPr>
      <w:vertAlign w:val="superscript"/>
    </w:rPr>
  </w:style>
  <w:style w:type="character" w:styleId="Annotationreference">
    <w:name w:val="annotation reference"/>
    <w:basedOn w:val="DefaultParagraphFont"/>
    <w:uiPriority w:val="99"/>
    <w:semiHidden/>
    <w:unhideWhenUsed/>
    <w:qFormat/>
    <w:rsid w:val="002601b3"/>
    <w:rPr>
      <w:sz w:val="16"/>
      <w:szCs w:val="16"/>
    </w:rPr>
  </w:style>
  <w:style w:type="character" w:styleId="AsuntodelcomentarioCar" w:customStyle="1">
    <w:name w:val="Asunto del comentario Car"/>
    <w:basedOn w:val="TextocomentarioCar"/>
    <w:link w:val="Asuntodelcomentario"/>
    <w:uiPriority w:val="99"/>
    <w:semiHidden/>
    <w:qFormat/>
    <w:rsid w:val="002601b3"/>
    <w:rPr>
      <w:b/>
      <w:bCs/>
      <w:sz w:val="20"/>
      <w:szCs w:val="20"/>
    </w:rPr>
  </w:style>
  <w:style w:type="character" w:styleId="TextodegloboCar" w:customStyle="1">
    <w:name w:val="Texto de globo Car"/>
    <w:basedOn w:val="DefaultParagraphFont"/>
    <w:link w:val="Textodeglobo"/>
    <w:uiPriority w:val="99"/>
    <w:semiHidden/>
    <w:qFormat/>
    <w:rsid w:val="002601b3"/>
    <w:rPr>
      <w:rFonts w:ascii="Segoe UI" w:hAnsi="Segoe UI" w:cs="Segoe UI"/>
      <w:sz w:val="18"/>
      <w:szCs w:val="18"/>
    </w:rPr>
  </w:style>
  <w:style w:type="character" w:styleId="ListLabel1">
    <w:name w:val="ListLabel 1"/>
    <w:qFormat/>
    <w:rPr>
      <w:sz w:val="20"/>
    </w:rPr>
  </w:style>
  <w:style w:type="character" w:styleId="ListLabel2">
    <w:name w:val="ListLabel 2"/>
    <w:qFormat/>
    <w:rPr>
      <w:sz w:val="20"/>
    </w:rPr>
  </w:style>
  <w:style w:type="character" w:styleId="ListLabel3">
    <w:name w:val="ListLabel 3"/>
    <w:qFormat/>
    <w:rPr>
      <w:sz w:val="20"/>
    </w:rPr>
  </w:style>
  <w:style w:type="character" w:styleId="ListLabel4">
    <w:name w:val="ListLabel 4"/>
    <w:qFormat/>
    <w:rPr>
      <w:sz w:val="20"/>
    </w:rPr>
  </w:style>
  <w:style w:type="character" w:styleId="ListLabel5">
    <w:name w:val="ListLabel 5"/>
    <w:qFormat/>
    <w:rPr>
      <w:sz w:val="20"/>
    </w:rPr>
  </w:style>
  <w:style w:type="character" w:styleId="ListLabel6">
    <w:name w:val="ListLabel 6"/>
    <w:qFormat/>
    <w:rPr>
      <w:sz w:val="20"/>
    </w:rPr>
  </w:style>
  <w:style w:type="character" w:styleId="ListLabel7">
    <w:name w:val="ListLabel 7"/>
    <w:qFormat/>
    <w:rPr>
      <w:sz w:val="20"/>
    </w:rPr>
  </w:style>
  <w:style w:type="character" w:styleId="ListLabel8">
    <w:name w:val="ListLabel 8"/>
    <w:qFormat/>
    <w:rPr>
      <w:sz w:val="20"/>
    </w:rPr>
  </w:style>
  <w:style w:type="character" w:styleId="ListLabel9">
    <w:name w:val="ListLabel 9"/>
    <w:qFormat/>
    <w:rPr>
      <w:sz w:val="20"/>
    </w:rPr>
  </w:style>
  <w:style w:type="character" w:styleId="ListLabel10">
    <w:name w:val="ListLabel 10"/>
    <w:qFormat/>
    <w:rPr>
      <w:sz w:val="20"/>
    </w:rPr>
  </w:style>
  <w:style w:type="character" w:styleId="ListLabel11">
    <w:name w:val="ListLabel 11"/>
    <w:qFormat/>
    <w:rPr>
      <w:rFonts w:ascii="Noto Sans" w:hAnsi="Noto Sans"/>
      <w:sz w:val="24"/>
    </w:rPr>
  </w:style>
  <w:style w:type="character" w:styleId="ListLabel12">
    <w:name w:val="ListLabel 12"/>
    <w:qFormat/>
    <w:rPr>
      <w:sz w:val="20"/>
    </w:rPr>
  </w:style>
  <w:style w:type="character" w:styleId="ListLabel13">
    <w:name w:val="ListLabel 13"/>
    <w:qFormat/>
    <w:rPr>
      <w:sz w:val="20"/>
    </w:rPr>
  </w:style>
  <w:style w:type="character" w:styleId="ListLabel14">
    <w:name w:val="ListLabel 14"/>
    <w:qFormat/>
    <w:rPr>
      <w:sz w:val="20"/>
    </w:rPr>
  </w:style>
  <w:style w:type="character" w:styleId="ListLabel15">
    <w:name w:val="ListLabel 15"/>
    <w:qFormat/>
    <w:rPr>
      <w:sz w:val="20"/>
    </w:rPr>
  </w:style>
  <w:style w:type="character" w:styleId="ListLabel16">
    <w:name w:val="ListLabel 16"/>
    <w:qFormat/>
    <w:rPr>
      <w:sz w:val="20"/>
    </w:rPr>
  </w:style>
  <w:style w:type="character" w:styleId="ListLabel17">
    <w:name w:val="ListLabel 17"/>
    <w:qFormat/>
    <w:rPr>
      <w:sz w:val="20"/>
    </w:rPr>
  </w:style>
  <w:style w:type="character" w:styleId="ListLabel18">
    <w:name w:val="ListLabel 18"/>
    <w:qFormat/>
    <w:rPr>
      <w:sz w:val="20"/>
    </w:rPr>
  </w:style>
  <w:style w:type="character" w:styleId="ListLabel19">
    <w:name w:val="ListLabel 19"/>
    <w:qFormat/>
    <w:rPr>
      <w:sz w:val="20"/>
    </w:rPr>
  </w:style>
  <w:style w:type="character" w:styleId="ListLabel20">
    <w:name w:val="ListLabel 20"/>
    <w:qFormat/>
    <w:rPr>
      <w:sz w:val="20"/>
    </w:rPr>
  </w:style>
  <w:style w:type="character" w:styleId="ListLabel21">
    <w:name w:val="ListLabel 21"/>
    <w:qFormat/>
    <w:rPr>
      <w:sz w:val="20"/>
    </w:rPr>
  </w:style>
  <w:style w:type="character" w:styleId="ListLabel22">
    <w:name w:val="ListLabel 22"/>
    <w:qFormat/>
    <w:rPr>
      <w:sz w:val="20"/>
    </w:rPr>
  </w:style>
  <w:style w:type="character" w:styleId="ListLabel23">
    <w:name w:val="ListLabel 23"/>
    <w:qFormat/>
    <w:rPr>
      <w:sz w:val="20"/>
    </w:rPr>
  </w:style>
  <w:style w:type="character" w:styleId="ListLabel24">
    <w:name w:val="ListLabel 24"/>
    <w:qFormat/>
    <w:rPr>
      <w:sz w:val="20"/>
    </w:rPr>
  </w:style>
  <w:style w:type="character" w:styleId="ListLabel25">
    <w:name w:val="ListLabel 25"/>
    <w:qFormat/>
    <w:rPr>
      <w:sz w:val="20"/>
    </w:rPr>
  </w:style>
  <w:style w:type="character" w:styleId="ListLabel26">
    <w:name w:val="ListLabel 26"/>
    <w:qFormat/>
    <w:rPr>
      <w:sz w:val="20"/>
    </w:rPr>
  </w:style>
  <w:style w:type="character" w:styleId="ListLabel27">
    <w:name w:val="ListLabel 27"/>
    <w:qFormat/>
    <w:rPr>
      <w:sz w:val="20"/>
    </w:rPr>
  </w:style>
  <w:style w:type="character" w:styleId="ListLabel28">
    <w:name w:val="ListLabel 28"/>
    <w:qFormat/>
    <w:rPr>
      <w:sz w:val="20"/>
    </w:rPr>
  </w:style>
  <w:style w:type="character" w:styleId="ListLabel29">
    <w:name w:val="ListLabel 29"/>
    <w:qFormat/>
    <w:rPr>
      <w:sz w:val="20"/>
    </w:rPr>
  </w:style>
  <w:style w:type="character" w:styleId="ListLabel30">
    <w:name w:val="ListLabel 30"/>
    <w:qFormat/>
    <w:rPr>
      <w:sz w:val="20"/>
    </w:rPr>
  </w:style>
  <w:style w:type="character" w:styleId="ListLabel31">
    <w:name w:val="ListLabel 31"/>
    <w:qFormat/>
    <w:rPr>
      <w:sz w:val="20"/>
    </w:rPr>
  </w:style>
  <w:style w:type="character" w:styleId="ListLabel32">
    <w:name w:val="ListLabel 32"/>
    <w:qFormat/>
    <w:rPr>
      <w:sz w:val="20"/>
    </w:rPr>
  </w:style>
  <w:style w:type="character" w:styleId="ListLabel33">
    <w:name w:val="ListLabel 33"/>
    <w:qFormat/>
    <w:rPr>
      <w:sz w:val="20"/>
    </w:rPr>
  </w:style>
  <w:style w:type="character" w:styleId="ListLabel34">
    <w:name w:val="ListLabel 34"/>
    <w:qFormat/>
    <w:rPr>
      <w:sz w:val="20"/>
    </w:rPr>
  </w:style>
  <w:style w:type="character" w:styleId="ListLabel35">
    <w:name w:val="ListLabel 35"/>
    <w:qFormat/>
    <w:rPr>
      <w:sz w:val="20"/>
    </w:rPr>
  </w:style>
  <w:style w:type="character" w:styleId="ListLabel36">
    <w:name w:val="ListLabel 36"/>
    <w:qFormat/>
    <w:rPr>
      <w:sz w:val="20"/>
    </w:rPr>
  </w:style>
  <w:style w:type="character" w:styleId="ListLabel37">
    <w:name w:val="ListLabel 37"/>
    <w:qFormat/>
    <w:rPr>
      <w:sz w:val="20"/>
    </w:rPr>
  </w:style>
  <w:style w:type="character" w:styleId="ListLabel38">
    <w:name w:val="ListLabel 38"/>
    <w:qFormat/>
    <w:rPr>
      <w:sz w:val="20"/>
    </w:rPr>
  </w:style>
  <w:style w:type="character" w:styleId="ListLabel39">
    <w:name w:val="ListLabel 39"/>
    <w:qFormat/>
    <w:rPr>
      <w:sz w:val="20"/>
    </w:rPr>
  </w:style>
  <w:style w:type="character" w:styleId="ListLabel40">
    <w:name w:val="ListLabel 40"/>
    <w:qFormat/>
    <w:rPr>
      <w:sz w:val="20"/>
    </w:rPr>
  </w:style>
  <w:style w:type="character" w:styleId="ListLabel41">
    <w:name w:val="ListLabel 41"/>
    <w:qFormat/>
    <w:rPr>
      <w:sz w:val="20"/>
    </w:rPr>
  </w:style>
  <w:style w:type="character" w:styleId="ListLabel42">
    <w:name w:val="ListLabel 42"/>
    <w:qFormat/>
    <w:rPr>
      <w:sz w:val="20"/>
    </w:rPr>
  </w:style>
  <w:style w:type="character" w:styleId="ListLabel43">
    <w:name w:val="ListLabel 43"/>
    <w:qFormat/>
    <w:rPr>
      <w:sz w:val="20"/>
    </w:rPr>
  </w:style>
  <w:style w:type="character" w:styleId="ListLabel44">
    <w:name w:val="ListLabel 44"/>
    <w:qFormat/>
    <w:rPr>
      <w:sz w:val="20"/>
    </w:rPr>
  </w:style>
  <w:style w:type="character" w:styleId="ListLabel45">
    <w:name w:val="ListLabel 45"/>
    <w:qFormat/>
    <w:rPr>
      <w:sz w:val="20"/>
    </w:rPr>
  </w:style>
  <w:style w:type="character" w:styleId="ListLabel46">
    <w:name w:val="ListLabel 46"/>
    <w:qFormat/>
    <w:rPr>
      <w:sz w:val="20"/>
    </w:rPr>
  </w:style>
  <w:style w:type="character" w:styleId="ListLabel47">
    <w:name w:val="ListLabel 47"/>
    <w:qFormat/>
    <w:rPr>
      <w:sz w:val="20"/>
    </w:rPr>
  </w:style>
  <w:style w:type="character" w:styleId="ListLabel48">
    <w:name w:val="ListLabel 48"/>
    <w:qFormat/>
    <w:rPr>
      <w:sz w:val="20"/>
    </w:rPr>
  </w:style>
  <w:style w:type="character" w:styleId="ListLabel49">
    <w:name w:val="ListLabel 49"/>
    <w:qFormat/>
    <w:rPr>
      <w:sz w:val="20"/>
    </w:rPr>
  </w:style>
  <w:style w:type="character" w:styleId="ListLabel50">
    <w:name w:val="ListLabel 50"/>
    <w:qFormat/>
    <w:rPr>
      <w:sz w:val="20"/>
    </w:rPr>
  </w:style>
  <w:style w:type="character" w:styleId="ListLabel51">
    <w:name w:val="ListLabel 51"/>
    <w:qFormat/>
    <w:rPr>
      <w:sz w:val="20"/>
    </w:rPr>
  </w:style>
  <w:style w:type="character" w:styleId="ListLabel52">
    <w:name w:val="ListLabel 52"/>
    <w:qFormat/>
    <w:rPr>
      <w:sz w:val="20"/>
    </w:rPr>
  </w:style>
  <w:style w:type="character" w:styleId="ListLabel53">
    <w:name w:val="ListLabel 53"/>
    <w:qFormat/>
    <w:rPr>
      <w:sz w:val="20"/>
    </w:rPr>
  </w:style>
  <w:style w:type="character" w:styleId="ListLabel54">
    <w:name w:val="ListLabel 54"/>
    <w:qFormat/>
    <w:rPr>
      <w:sz w:val="20"/>
    </w:rPr>
  </w:style>
  <w:style w:type="character" w:styleId="ListLabel55">
    <w:name w:val="ListLabel 55"/>
    <w:qFormat/>
    <w:rPr>
      <w:rFonts w:ascii="Noto Sans" w:hAnsi="Noto Sans" w:eastAsia="Calibri"/>
      <w:sz w:val="24"/>
    </w:rPr>
  </w:style>
  <w:style w:type="character" w:styleId="ListLabel56">
    <w:name w:val="ListLabel 56"/>
    <w:qFormat/>
    <w:rPr>
      <w:sz w:val="20"/>
    </w:rPr>
  </w:style>
  <w:style w:type="character" w:styleId="ListLabel57">
    <w:name w:val="ListLabel 57"/>
    <w:qFormat/>
    <w:rPr>
      <w:sz w:val="20"/>
    </w:rPr>
  </w:style>
  <w:style w:type="character" w:styleId="ListLabel58">
    <w:name w:val="ListLabel 58"/>
    <w:qFormat/>
    <w:rPr>
      <w:sz w:val="20"/>
    </w:rPr>
  </w:style>
  <w:style w:type="character" w:styleId="ListLabel59">
    <w:name w:val="ListLabel 59"/>
    <w:qFormat/>
    <w:rPr>
      <w:sz w:val="20"/>
    </w:rPr>
  </w:style>
  <w:style w:type="character" w:styleId="ListLabel60">
    <w:name w:val="ListLabel 60"/>
    <w:qFormat/>
    <w:rPr>
      <w:sz w:val="20"/>
    </w:rPr>
  </w:style>
  <w:style w:type="character" w:styleId="ListLabel61">
    <w:name w:val="ListLabel 61"/>
    <w:qFormat/>
    <w:rPr>
      <w:sz w:val="20"/>
    </w:rPr>
  </w:style>
  <w:style w:type="character" w:styleId="ListLabel62">
    <w:name w:val="ListLabel 62"/>
    <w:qFormat/>
    <w:rPr>
      <w:sz w:val="20"/>
    </w:rPr>
  </w:style>
  <w:style w:type="character" w:styleId="ListLabel63">
    <w:name w:val="ListLabel 63"/>
    <w:qFormat/>
    <w:rPr>
      <w:sz w:val="20"/>
    </w:rPr>
  </w:style>
  <w:style w:type="character" w:styleId="ListLabel64">
    <w:name w:val="ListLabel 64"/>
    <w:qFormat/>
    <w:rPr>
      <w:rFonts w:ascii="Noto Sans" w:hAnsi="Noto Sans"/>
      <w:i/>
      <w:sz w:val="24"/>
      <w:szCs w:val="20"/>
    </w:rPr>
  </w:style>
  <w:style w:type="character" w:styleId="ListLabel65">
    <w:name w:val="ListLabel 65"/>
    <w:qFormat/>
    <w:rPr>
      <w:sz w:val="20"/>
    </w:rPr>
  </w:style>
  <w:style w:type="character" w:styleId="ListLabel66">
    <w:name w:val="ListLabel 66"/>
    <w:qFormat/>
    <w:rPr>
      <w:rFonts w:ascii="Noto Sans" w:hAnsi="Noto Sans"/>
      <w:sz w:val="24"/>
    </w:rPr>
  </w:style>
  <w:style w:type="character" w:styleId="ListLabel67">
    <w:name w:val="ListLabel 67"/>
    <w:qFormat/>
    <w:rPr>
      <w:sz w:val="20"/>
    </w:rPr>
  </w:style>
  <w:style w:type="character" w:styleId="ListLabel68">
    <w:name w:val="ListLabel 68"/>
    <w:qFormat/>
    <w:rPr>
      <w:sz w:val="20"/>
    </w:rPr>
  </w:style>
  <w:style w:type="character" w:styleId="ListLabel69">
    <w:name w:val="ListLabel 69"/>
    <w:qFormat/>
    <w:rPr>
      <w:sz w:val="20"/>
    </w:rPr>
  </w:style>
  <w:style w:type="character" w:styleId="ListLabel70">
    <w:name w:val="ListLabel 70"/>
    <w:qFormat/>
    <w:rPr>
      <w:sz w:val="20"/>
    </w:rPr>
  </w:style>
  <w:style w:type="character" w:styleId="ListLabel71">
    <w:name w:val="ListLabel 71"/>
    <w:qFormat/>
    <w:rPr>
      <w:sz w:val="20"/>
    </w:rPr>
  </w:style>
  <w:style w:type="character" w:styleId="ListLabel72">
    <w:name w:val="ListLabel 72"/>
    <w:qFormat/>
    <w:rPr>
      <w:sz w:val="20"/>
    </w:rPr>
  </w:style>
  <w:style w:type="character" w:styleId="ListLabel73">
    <w:name w:val="ListLabel 73"/>
    <w:qFormat/>
    <w:rPr>
      <w:sz w:val="20"/>
    </w:rPr>
  </w:style>
  <w:style w:type="character" w:styleId="Caracteresdenotaalpie">
    <w:name w:val="Caracteres de nota al pie"/>
    <w:qFormat/>
    <w:rPr/>
  </w:style>
  <w:style w:type="character" w:styleId="Ancladenotafinal">
    <w:name w:val="Ancla de nota final"/>
    <w:rPr>
      <w:vertAlign w:val="superscript"/>
    </w:rPr>
  </w:style>
  <w:style w:type="character" w:styleId="Caracteresdenotafinal">
    <w:name w:val="Caracteres de nota final"/>
    <w:qFormat/>
    <w:rPr/>
  </w:style>
  <w:style w:type="character" w:styleId="ListLabel74">
    <w:name w:val="ListLabel 74"/>
    <w:qFormat/>
    <w:rPr>
      <w:rFonts w:cs="Symbol"/>
      <w:sz w:val="20"/>
    </w:rPr>
  </w:style>
  <w:style w:type="character" w:styleId="ListLabel75">
    <w:name w:val="ListLabel 75"/>
    <w:qFormat/>
    <w:rPr>
      <w:rFonts w:ascii="Noto Sans" w:hAnsi="Noto Sans" w:cs="Symbol"/>
      <w:sz w:val="24"/>
    </w:rPr>
  </w:style>
  <w:style w:type="character" w:styleId="ListLabel76">
    <w:name w:val="ListLabel 76"/>
    <w:qFormat/>
    <w:rPr>
      <w:rFonts w:cs="Wingdings"/>
      <w:sz w:val="20"/>
    </w:rPr>
  </w:style>
  <w:style w:type="character" w:styleId="ListLabel77">
    <w:name w:val="ListLabel 77"/>
    <w:qFormat/>
    <w:rPr>
      <w:rFonts w:cs="Wingdings"/>
      <w:sz w:val="20"/>
    </w:rPr>
  </w:style>
  <w:style w:type="character" w:styleId="ListLabel78">
    <w:name w:val="ListLabel 78"/>
    <w:qFormat/>
    <w:rPr>
      <w:rFonts w:cs="Wingdings"/>
      <w:sz w:val="20"/>
    </w:rPr>
  </w:style>
  <w:style w:type="character" w:styleId="ListLabel79">
    <w:name w:val="ListLabel 79"/>
    <w:qFormat/>
    <w:rPr>
      <w:rFonts w:cs="Wingdings"/>
      <w:sz w:val="20"/>
    </w:rPr>
  </w:style>
  <w:style w:type="character" w:styleId="ListLabel80">
    <w:name w:val="ListLabel 80"/>
    <w:qFormat/>
    <w:rPr>
      <w:rFonts w:cs="Wingdings"/>
      <w:sz w:val="20"/>
    </w:rPr>
  </w:style>
  <w:style w:type="character" w:styleId="ListLabel81">
    <w:name w:val="ListLabel 81"/>
    <w:qFormat/>
    <w:rPr>
      <w:rFonts w:cs="Wingdings"/>
      <w:sz w:val="20"/>
    </w:rPr>
  </w:style>
  <w:style w:type="character" w:styleId="ListLabel82">
    <w:name w:val="ListLabel 82"/>
    <w:qFormat/>
    <w:rPr>
      <w:rFonts w:cs="Wingdings"/>
      <w:sz w:val="20"/>
    </w:rPr>
  </w:style>
  <w:style w:type="character" w:styleId="ListLabel83">
    <w:name w:val="ListLabel 83"/>
    <w:qFormat/>
    <w:rPr>
      <w:rFonts w:ascii="Noto Sans" w:hAnsi="Noto Sans" w:cs="Noto Sans"/>
      <w:sz w:val="24"/>
    </w:rPr>
  </w:style>
  <w:style w:type="character" w:styleId="ListLabel84">
    <w:name w:val="ListLabel 84"/>
    <w:qFormat/>
    <w:rPr>
      <w:rFonts w:cs="Courier New"/>
      <w:sz w:val="20"/>
    </w:rPr>
  </w:style>
  <w:style w:type="character" w:styleId="ListLabel85">
    <w:name w:val="ListLabel 85"/>
    <w:qFormat/>
    <w:rPr>
      <w:rFonts w:cs="Wingdings"/>
      <w:sz w:val="20"/>
    </w:rPr>
  </w:style>
  <w:style w:type="character" w:styleId="ListLabel86">
    <w:name w:val="ListLabel 86"/>
    <w:qFormat/>
    <w:rPr>
      <w:rFonts w:cs="Wingdings"/>
      <w:sz w:val="20"/>
    </w:rPr>
  </w:style>
  <w:style w:type="character" w:styleId="ListLabel87">
    <w:name w:val="ListLabel 87"/>
    <w:qFormat/>
    <w:rPr>
      <w:rFonts w:cs="Wingdings"/>
      <w:sz w:val="20"/>
    </w:rPr>
  </w:style>
  <w:style w:type="character" w:styleId="ListLabel88">
    <w:name w:val="ListLabel 88"/>
    <w:qFormat/>
    <w:rPr>
      <w:rFonts w:cs="Wingdings"/>
      <w:sz w:val="20"/>
    </w:rPr>
  </w:style>
  <w:style w:type="character" w:styleId="ListLabel89">
    <w:name w:val="ListLabel 89"/>
    <w:qFormat/>
    <w:rPr>
      <w:rFonts w:cs="Wingdings"/>
      <w:sz w:val="20"/>
    </w:rPr>
  </w:style>
  <w:style w:type="character" w:styleId="ListLabel90">
    <w:name w:val="ListLabel 90"/>
    <w:qFormat/>
    <w:rPr>
      <w:rFonts w:cs="Wingdings"/>
      <w:sz w:val="20"/>
    </w:rPr>
  </w:style>
  <w:style w:type="character" w:styleId="ListLabel91">
    <w:name w:val="ListLabel 91"/>
    <w:qFormat/>
    <w:rPr>
      <w:rFonts w:cs="Wingdings"/>
      <w:sz w:val="20"/>
    </w:rPr>
  </w:style>
  <w:style w:type="character" w:styleId="ListLabel92">
    <w:name w:val="ListLabel 92"/>
    <w:qFormat/>
    <w:rPr>
      <w:rFonts w:ascii="Noto Sans" w:hAnsi="Noto Sans"/>
      <w:i/>
      <w:sz w:val="24"/>
      <w:szCs w:val="20"/>
    </w:rPr>
  </w:style>
  <w:style w:type="character" w:styleId="ListLabel93">
    <w:name w:val="ListLabel 93"/>
    <w:qFormat/>
    <w:rPr>
      <w:rFonts w:cs="Symbol"/>
      <w:sz w:val="20"/>
    </w:rPr>
  </w:style>
  <w:style w:type="character" w:styleId="ListLabel94">
    <w:name w:val="ListLabel 94"/>
    <w:qFormat/>
    <w:rPr>
      <w:rFonts w:ascii="Noto Sans" w:hAnsi="Noto Sans" w:cs="Noto Sans"/>
      <w:sz w:val="24"/>
    </w:rPr>
  </w:style>
  <w:style w:type="character" w:styleId="ListLabel95">
    <w:name w:val="ListLabel 95"/>
    <w:qFormat/>
    <w:rPr>
      <w:rFonts w:cs="Wingdings"/>
      <w:sz w:val="20"/>
    </w:rPr>
  </w:style>
  <w:style w:type="character" w:styleId="ListLabel96">
    <w:name w:val="ListLabel 96"/>
    <w:qFormat/>
    <w:rPr>
      <w:rFonts w:cs="Wingdings"/>
      <w:sz w:val="20"/>
    </w:rPr>
  </w:style>
  <w:style w:type="character" w:styleId="ListLabel97">
    <w:name w:val="ListLabel 97"/>
    <w:qFormat/>
    <w:rPr>
      <w:rFonts w:cs="Wingdings"/>
      <w:sz w:val="20"/>
    </w:rPr>
  </w:style>
  <w:style w:type="character" w:styleId="ListLabel98">
    <w:name w:val="ListLabel 98"/>
    <w:qFormat/>
    <w:rPr>
      <w:rFonts w:cs="Wingdings"/>
      <w:sz w:val="20"/>
    </w:rPr>
  </w:style>
  <w:style w:type="character" w:styleId="ListLabel99">
    <w:name w:val="ListLabel 99"/>
    <w:qFormat/>
    <w:rPr>
      <w:rFonts w:cs="Wingdings"/>
      <w:sz w:val="20"/>
    </w:rPr>
  </w:style>
  <w:style w:type="character" w:styleId="ListLabel100">
    <w:name w:val="ListLabel 100"/>
    <w:qFormat/>
    <w:rPr>
      <w:rFonts w:cs="Wingdings"/>
      <w:sz w:val="20"/>
    </w:rPr>
  </w:style>
  <w:style w:type="character" w:styleId="ListLabel101">
    <w:name w:val="ListLabel 101"/>
    <w:qFormat/>
    <w:rPr>
      <w:rFonts w:cs="Wingdings"/>
      <w:sz w:val="20"/>
    </w:rPr>
  </w:style>
  <w:style w:type="character" w:styleId="ListLabel102">
    <w:name w:val="ListLabel 102"/>
    <w:qFormat/>
    <w:rPr>
      <w:rFonts w:cs="Symbol"/>
      <w:sz w:val="20"/>
    </w:rPr>
  </w:style>
  <w:style w:type="character" w:styleId="ListLabel103">
    <w:name w:val="ListLabel 103"/>
    <w:qFormat/>
    <w:rPr>
      <w:rFonts w:ascii="Noto Sans" w:hAnsi="Noto Sans" w:cs="Symbol"/>
      <w:sz w:val="24"/>
    </w:rPr>
  </w:style>
  <w:style w:type="character" w:styleId="ListLabel104">
    <w:name w:val="ListLabel 104"/>
    <w:qFormat/>
    <w:rPr>
      <w:rFonts w:cs="Wingdings"/>
      <w:sz w:val="20"/>
    </w:rPr>
  </w:style>
  <w:style w:type="character" w:styleId="ListLabel105">
    <w:name w:val="ListLabel 105"/>
    <w:qFormat/>
    <w:rPr>
      <w:rFonts w:cs="Wingdings"/>
      <w:sz w:val="20"/>
    </w:rPr>
  </w:style>
  <w:style w:type="character" w:styleId="ListLabel106">
    <w:name w:val="ListLabel 106"/>
    <w:qFormat/>
    <w:rPr>
      <w:rFonts w:cs="Wingdings"/>
      <w:sz w:val="20"/>
    </w:rPr>
  </w:style>
  <w:style w:type="character" w:styleId="ListLabel107">
    <w:name w:val="ListLabel 107"/>
    <w:qFormat/>
    <w:rPr>
      <w:rFonts w:cs="Wingdings"/>
      <w:sz w:val="20"/>
    </w:rPr>
  </w:style>
  <w:style w:type="character" w:styleId="ListLabel108">
    <w:name w:val="ListLabel 108"/>
    <w:qFormat/>
    <w:rPr>
      <w:rFonts w:cs="Wingdings"/>
      <w:sz w:val="20"/>
    </w:rPr>
  </w:style>
  <w:style w:type="character" w:styleId="ListLabel109">
    <w:name w:val="ListLabel 109"/>
    <w:qFormat/>
    <w:rPr>
      <w:rFonts w:cs="Wingdings"/>
      <w:sz w:val="20"/>
    </w:rPr>
  </w:style>
  <w:style w:type="character" w:styleId="ListLabel110">
    <w:name w:val="ListLabel 110"/>
    <w:qFormat/>
    <w:rPr>
      <w:rFonts w:cs="Wingdings"/>
      <w:sz w:val="20"/>
    </w:rPr>
  </w:style>
  <w:style w:type="character" w:styleId="ListLabel111">
    <w:name w:val="ListLabel 111"/>
    <w:qFormat/>
    <w:rPr>
      <w:rFonts w:ascii="Noto Sans" w:hAnsi="Noto Sans" w:cs="Noto Sans"/>
      <w:sz w:val="24"/>
    </w:rPr>
  </w:style>
  <w:style w:type="character" w:styleId="ListLabel112">
    <w:name w:val="ListLabel 112"/>
    <w:qFormat/>
    <w:rPr>
      <w:rFonts w:cs="Courier New"/>
      <w:sz w:val="20"/>
    </w:rPr>
  </w:style>
  <w:style w:type="character" w:styleId="ListLabel113">
    <w:name w:val="ListLabel 113"/>
    <w:qFormat/>
    <w:rPr>
      <w:rFonts w:cs="Wingdings"/>
      <w:sz w:val="20"/>
    </w:rPr>
  </w:style>
  <w:style w:type="character" w:styleId="ListLabel114">
    <w:name w:val="ListLabel 114"/>
    <w:qFormat/>
    <w:rPr>
      <w:rFonts w:cs="Wingdings"/>
      <w:sz w:val="20"/>
    </w:rPr>
  </w:style>
  <w:style w:type="character" w:styleId="ListLabel115">
    <w:name w:val="ListLabel 115"/>
    <w:qFormat/>
    <w:rPr>
      <w:rFonts w:cs="Wingdings"/>
      <w:sz w:val="20"/>
    </w:rPr>
  </w:style>
  <w:style w:type="character" w:styleId="ListLabel116">
    <w:name w:val="ListLabel 116"/>
    <w:qFormat/>
    <w:rPr>
      <w:rFonts w:cs="Wingdings"/>
      <w:sz w:val="20"/>
    </w:rPr>
  </w:style>
  <w:style w:type="character" w:styleId="ListLabel117">
    <w:name w:val="ListLabel 117"/>
    <w:qFormat/>
    <w:rPr>
      <w:rFonts w:cs="Wingdings"/>
      <w:sz w:val="20"/>
    </w:rPr>
  </w:style>
  <w:style w:type="character" w:styleId="ListLabel118">
    <w:name w:val="ListLabel 118"/>
    <w:qFormat/>
    <w:rPr>
      <w:rFonts w:cs="Wingdings"/>
      <w:sz w:val="20"/>
    </w:rPr>
  </w:style>
  <w:style w:type="character" w:styleId="ListLabel119">
    <w:name w:val="ListLabel 119"/>
    <w:qFormat/>
    <w:rPr>
      <w:rFonts w:cs="Wingdings"/>
      <w:sz w:val="20"/>
    </w:rPr>
  </w:style>
  <w:style w:type="character" w:styleId="ListLabel120">
    <w:name w:val="ListLabel 120"/>
    <w:qFormat/>
    <w:rPr>
      <w:rFonts w:ascii="Noto Sans" w:hAnsi="Noto Sans"/>
      <w:i/>
      <w:sz w:val="24"/>
      <w:szCs w:val="20"/>
    </w:rPr>
  </w:style>
  <w:style w:type="character" w:styleId="ListLabel121">
    <w:name w:val="ListLabel 121"/>
    <w:qFormat/>
    <w:rPr>
      <w:rFonts w:cs="Symbol"/>
      <w:sz w:val="20"/>
    </w:rPr>
  </w:style>
  <w:style w:type="character" w:styleId="ListLabel122">
    <w:name w:val="ListLabel 122"/>
    <w:qFormat/>
    <w:rPr>
      <w:rFonts w:ascii="Noto Sans" w:hAnsi="Noto Sans" w:cs="Noto Sans"/>
      <w:sz w:val="24"/>
    </w:rPr>
  </w:style>
  <w:style w:type="character" w:styleId="ListLabel123">
    <w:name w:val="ListLabel 123"/>
    <w:qFormat/>
    <w:rPr>
      <w:rFonts w:cs="Wingdings"/>
      <w:sz w:val="20"/>
    </w:rPr>
  </w:style>
  <w:style w:type="character" w:styleId="ListLabel124">
    <w:name w:val="ListLabel 124"/>
    <w:qFormat/>
    <w:rPr>
      <w:rFonts w:cs="Wingdings"/>
      <w:sz w:val="20"/>
    </w:rPr>
  </w:style>
  <w:style w:type="character" w:styleId="ListLabel125">
    <w:name w:val="ListLabel 125"/>
    <w:qFormat/>
    <w:rPr>
      <w:rFonts w:cs="Wingdings"/>
      <w:sz w:val="20"/>
    </w:rPr>
  </w:style>
  <w:style w:type="character" w:styleId="ListLabel126">
    <w:name w:val="ListLabel 126"/>
    <w:qFormat/>
    <w:rPr>
      <w:rFonts w:cs="Wingdings"/>
      <w:sz w:val="20"/>
    </w:rPr>
  </w:style>
  <w:style w:type="character" w:styleId="ListLabel127">
    <w:name w:val="ListLabel 127"/>
    <w:qFormat/>
    <w:rPr>
      <w:rFonts w:cs="Wingdings"/>
      <w:sz w:val="20"/>
    </w:rPr>
  </w:style>
  <w:style w:type="character" w:styleId="ListLabel128">
    <w:name w:val="ListLabel 128"/>
    <w:qFormat/>
    <w:rPr>
      <w:rFonts w:cs="Wingdings"/>
      <w:sz w:val="20"/>
    </w:rPr>
  </w:style>
  <w:style w:type="character" w:styleId="ListLabel129">
    <w:name w:val="ListLabel 129"/>
    <w:qFormat/>
    <w:rPr>
      <w:rFonts w:cs="Wingdings"/>
      <w:sz w:val="20"/>
    </w:rPr>
  </w:style>
  <w:style w:type="character" w:styleId="ListLabel130">
    <w:name w:val="ListLabel 130"/>
    <w:qFormat/>
    <w:rPr>
      <w:rFonts w:cs="Symbol"/>
      <w:sz w:val="20"/>
    </w:rPr>
  </w:style>
  <w:style w:type="character" w:styleId="ListLabel131">
    <w:name w:val="ListLabel 131"/>
    <w:qFormat/>
    <w:rPr>
      <w:rFonts w:ascii="Noto Sans" w:hAnsi="Noto Sans" w:cs="Symbol"/>
      <w:sz w:val="24"/>
    </w:rPr>
  </w:style>
  <w:style w:type="character" w:styleId="ListLabel132">
    <w:name w:val="ListLabel 132"/>
    <w:qFormat/>
    <w:rPr>
      <w:rFonts w:cs="Wingdings"/>
      <w:sz w:val="20"/>
    </w:rPr>
  </w:style>
  <w:style w:type="character" w:styleId="ListLabel133">
    <w:name w:val="ListLabel 133"/>
    <w:qFormat/>
    <w:rPr>
      <w:rFonts w:cs="Wingdings"/>
      <w:sz w:val="20"/>
    </w:rPr>
  </w:style>
  <w:style w:type="character" w:styleId="ListLabel134">
    <w:name w:val="ListLabel 134"/>
    <w:qFormat/>
    <w:rPr>
      <w:rFonts w:cs="Wingdings"/>
      <w:sz w:val="20"/>
    </w:rPr>
  </w:style>
  <w:style w:type="character" w:styleId="ListLabel135">
    <w:name w:val="ListLabel 135"/>
    <w:qFormat/>
    <w:rPr>
      <w:rFonts w:cs="Wingdings"/>
      <w:sz w:val="20"/>
    </w:rPr>
  </w:style>
  <w:style w:type="character" w:styleId="ListLabel136">
    <w:name w:val="ListLabel 136"/>
    <w:qFormat/>
    <w:rPr>
      <w:rFonts w:cs="Wingdings"/>
      <w:sz w:val="20"/>
    </w:rPr>
  </w:style>
  <w:style w:type="character" w:styleId="ListLabel137">
    <w:name w:val="ListLabel 137"/>
    <w:qFormat/>
    <w:rPr>
      <w:rFonts w:cs="Wingdings"/>
      <w:sz w:val="20"/>
    </w:rPr>
  </w:style>
  <w:style w:type="character" w:styleId="ListLabel138">
    <w:name w:val="ListLabel 138"/>
    <w:qFormat/>
    <w:rPr>
      <w:rFonts w:cs="Wingdings"/>
      <w:sz w:val="20"/>
    </w:rPr>
  </w:style>
  <w:style w:type="character" w:styleId="ListLabel139">
    <w:name w:val="ListLabel 139"/>
    <w:qFormat/>
    <w:rPr>
      <w:rFonts w:ascii="Noto Sans" w:hAnsi="Noto Sans" w:cs="Noto Sans"/>
      <w:sz w:val="24"/>
    </w:rPr>
  </w:style>
  <w:style w:type="character" w:styleId="ListLabel140">
    <w:name w:val="ListLabel 140"/>
    <w:qFormat/>
    <w:rPr>
      <w:rFonts w:cs="Courier New"/>
      <w:sz w:val="20"/>
    </w:rPr>
  </w:style>
  <w:style w:type="character" w:styleId="ListLabel141">
    <w:name w:val="ListLabel 141"/>
    <w:qFormat/>
    <w:rPr>
      <w:rFonts w:cs="Wingdings"/>
      <w:sz w:val="20"/>
    </w:rPr>
  </w:style>
  <w:style w:type="character" w:styleId="ListLabel142">
    <w:name w:val="ListLabel 142"/>
    <w:qFormat/>
    <w:rPr>
      <w:rFonts w:cs="Wingdings"/>
      <w:sz w:val="20"/>
    </w:rPr>
  </w:style>
  <w:style w:type="character" w:styleId="ListLabel143">
    <w:name w:val="ListLabel 143"/>
    <w:qFormat/>
    <w:rPr>
      <w:rFonts w:cs="Wingdings"/>
      <w:sz w:val="20"/>
    </w:rPr>
  </w:style>
  <w:style w:type="character" w:styleId="ListLabel144">
    <w:name w:val="ListLabel 144"/>
    <w:qFormat/>
    <w:rPr>
      <w:rFonts w:cs="Wingdings"/>
      <w:sz w:val="20"/>
    </w:rPr>
  </w:style>
  <w:style w:type="character" w:styleId="ListLabel145">
    <w:name w:val="ListLabel 145"/>
    <w:qFormat/>
    <w:rPr>
      <w:rFonts w:cs="Wingdings"/>
      <w:sz w:val="20"/>
    </w:rPr>
  </w:style>
  <w:style w:type="character" w:styleId="ListLabel146">
    <w:name w:val="ListLabel 146"/>
    <w:qFormat/>
    <w:rPr>
      <w:rFonts w:cs="Wingdings"/>
      <w:sz w:val="20"/>
    </w:rPr>
  </w:style>
  <w:style w:type="character" w:styleId="ListLabel147">
    <w:name w:val="ListLabel 147"/>
    <w:qFormat/>
    <w:rPr>
      <w:rFonts w:cs="Wingdings"/>
      <w:sz w:val="20"/>
    </w:rPr>
  </w:style>
  <w:style w:type="character" w:styleId="ListLabel148">
    <w:name w:val="ListLabel 148"/>
    <w:qFormat/>
    <w:rPr>
      <w:rFonts w:ascii="Noto Sans" w:hAnsi="Noto Sans"/>
      <w:i/>
      <w:sz w:val="24"/>
      <w:szCs w:val="20"/>
    </w:rPr>
  </w:style>
  <w:style w:type="character" w:styleId="ListLabel149">
    <w:name w:val="ListLabel 149"/>
    <w:qFormat/>
    <w:rPr>
      <w:rFonts w:cs="Symbol"/>
      <w:sz w:val="20"/>
    </w:rPr>
  </w:style>
  <w:style w:type="character" w:styleId="ListLabel150">
    <w:name w:val="ListLabel 150"/>
    <w:qFormat/>
    <w:rPr>
      <w:rFonts w:ascii="Noto Sans" w:hAnsi="Noto Sans" w:cs="Noto Sans"/>
      <w:sz w:val="24"/>
    </w:rPr>
  </w:style>
  <w:style w:type="character" w:styleId="ListLabel151">
    <w:name w:val="ListLabel 151"/>
    <w:qFormat/>
    <w:rPr>
      <w:rFonts w:cs="Wingdings"/>
      <w:sz w:val="20"/>
    </w:rPr>
  </w:style>
  <w:style w:type="character" w:styleId="ListLabel152">
    <w:name w:val="ListLabel 152"/>
    <w:qFormat/>
    <w:rPr>
      <w:rFonts w:cs="Wingdings"/>
      <w:sz w:val="20"/>
    </w:rPr>
  </w:style>
  <w:style w:type="character" w:styleId="ListLabel153">
    <w:name w:val="ListLabel 153"/>
    <w:qFormat/>
    <w:rPr>
      <w:rFonts w:cs="Wingdings"/>
      <w:sz w:val="20"/>
    </w:rPr>
  </w:style>
  <w:style w:type="character" w:styleId="ListLabel154">
    <w:name w:val="ListLabel 154"/>
    <w:qFormat/>
    <w:rPr>
      <w:rFonts w:cs="Wingdings"/>
      <w:sz w:val="20"/>
    </w:rPr>
  </w:style>
  <w:style w:type="character" w:styleId="ListLabel155">
    <w:name w:val="ListLabel 155"/>
    <w:qFormat/>
    <w:rPr>
      <w:rFonts w:cs="Wingdings"/>
      <w:sz w:val="20"/>
    </w:rPr>
  </w:style>
  <w:style w:type="character" w:styleId="ListLabel156">
    <w:name w:val="ListLabel 156"/>
    <w:qFormat/>
    <w:rPr>
      <w:rFonts w:cs="Wingdings"/>
      <w:sz w:val="20"/>
    </w:rPr>
  </w:style>
  <w:style w:type="character" w:styleId="ListLabel157">
    <w:name w:val="ListLabel 157"/>
    <w:qFormat/>
    <w:rPr>
      <w:rFonts w:cs="Wingdings"/>
      <w:sz w:val="20"/>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Arial"/>
    </w:rPr>
  </w:style>
  <w:style w:type="paragraph" w:styleId="Ley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Estilcomentaris" w:customStyle="1">
    <w:name w:val="Estil comentaris"/>
    <w:basedOn w:val="Annotationtext"/>
    <w:autoRedefine/>
    <w:qFormat/>
    <w:rsid w:val="002b7659"/>
    <w:pPr/>
    <w:rPr>
      <w:rFonts w:ascii="Noto Sans" w:hAnsi="Noto Sans"/>
      <w:sz w:val="18"/>
      <w:lang w:val="ca-ES"/>
    </w:rPr>
  </w:style>
  <w:style w:type="paragraph" w:styleId="Annotationtext">
    <w:name w:val="annotation text"/>
    <w:basedOn w:val="Normal"/>
    <w:link w:val="TextocomentarioCar"/>
    <w:uiPriority w:val="99"/>
    <w:semiHidden/>
    <w:unhideWhenUsed/>
    <w:qFormat/>
    <w:rsid w:val="002b7659"/>
    <w:pPr>
      <w:spacing w:lineRule="auto" w:line="240"/>
    </w:pPr>
    <w:rPr>
      <w:sz w:val="20"/>
      <w:szCs w:val="20"/>
    </w:rPr>
  </w:style>
  <w:style w:type="paragraph" w:styleId="NormalWeb">
    <w:name w:val="Normal (Web)"/>
    <w:basedOn w:val="Normal"/>
    <w:uiPriority w:val="99"/>
    <w:semiHidden/>
    <w:unhideWhenUsed/>
    <w:qFormat/>
    <w:rsid w:val="0055236d"/>
    <w:pPr>
      <w:spacing w:beforeAutospacing="1" w:after="142"/>
    </w:pPr>
    <w:rPr>
      <w:rFonts w:ascii="Times New Roman" w:hAnsi="Times New Roman" w:eastAsia="Times New Roman" w:cs="Times New Roman"/>
      <w:sz w:val="24"/>
      <w:szCs w:val="24"/>
      <w:lang w:val="ca-ES" w:eastAsia="ca-ES"/>
    </w:rPr>
  </w:style>
  <w:style w:type="paragraph" w:styleId="ListParagraph">
    <w:name w:val="List Paragraph"/>
    <w:basedOn w:val="Normal"/>
    <w:uiPriority w:val="34"/>
    <w:qFormat/>
    <w:rsid w:val="0055236d"/>
    <w:pPr>
      <w:spacing w:before="0" w:after="200"/>
      <w:ind w:left="720" w:hanging="0"/>
      <w:contextualSpacing/>
    </w:pPr>
    <w:rPr/>
  </w:style>
  <w:style w:type="paragraph" w:styleId="Notaalpie">
    <w:name w:val="Footnote Text"/>
    <w:basedOn w:val="Normal"/>
    <w:link w:val="TextonotapieCar"/>
    <w:uiPriority w:val="99"/>
    <w:semiHidden/>
    <w:unhideWhenUsed/>
    <w:rsid w:val="00560c36"/>
    <w:pPr>
      <w:spacing w:lineRule="auto" w:line="240" w:before="0" w:after="0"/>
    </w:pPr>
    <w:rPr>
      <w:sz w:val="20"/>
      <w:szCs w:val="20"/>
    </w:rPr>
  </w:style>
  <w:style w:type="paragraph" w:styleId="Annotationsubject">
    <w:name w:val="annotation subject"/>
    <w:basedOn w:val="Annotationtext"/>
    <w:next w:val="Annotationtext"/>
    <w:link w:val="AsuntodelcomentarioCar"/>
    <w:uiPriority w:val="99"/>
    <w:semiHidden/>
    <w:unhideWhenUsed/>
    <w:qFormat/>
    <w:rsid w:val="002601b3"/>
    <w:pPr/>
    <w:rPr>
      <w:b/>
      <w:bCs/>
    </w:rPr>
  </w:style>
  <w:style w:type="paragraph" w:styleId="BalloonText">
    <w:name w:val="Balloon Text"/>
    <w:basedOn w:val="Normal"/>
    <w:link w:val="TextodegloboCar"/>
    <w:uiPriority w:val="99"/>
    <w:semiHidden/>
    <w:unhideWhenUsed/>
    <w:qFormat/>
    <w:rsid w:val="002601b3"/>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55236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0307EE-66ED-4084-BCCC-3CE0059FB5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Application>LibreOffice/6.1.5.2$Windows_x86 LibreOffice_project/90f8dcf33c87b3705e78202e3df5142b201bd805</Application>
  <Pages>3</Pages>
  <Words>1098</Words>
  <Characters>5928</Characters>
  <CharactersWithSpaces>6939</CharactersWithSpaces>
  <Paragraphs>65</Paragraphs>
  <Company>HP Inc.</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2024-05-14T09:37:00Z</dcterms:created>
  <dc:creator>u101874</dc:creator>
  <dc:description/>
  <dc:language>es-ES</dc:language>
  <cp:lastModifiedBy/>
  <dcterms:modified xsi:type="dcterms:W3CDTF">2024-09-10T13:46:16Z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HP Inc.</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