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sdeltext"/>
        <w:jc w:val="left"/>
        <w:rPr>
          <w:rFonts w:ascii="Noto Sans" w:hAnsi="Noto Sans"/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INSTITUTO DE ESTUDIOS BALEÁRICOS</w:t>
      </w:r>
    </w:p>
    <w:p>
      <w:pPr>
        <w:pStyle w:val="Cosdeltext"/>
        <w:jc w:val="left"/>
        <w:rPr>
          <w:rFonts w:ascii="Noto Sans" w:hAnsi="Noto Sans"/>
          <w:b/>
          <w:b/>
          <w:bCs/>
          <w:sz w:val="28"/>
          <w:szCs w:val="28"/>
        </w:rPr>
      </w:pPr>
      <w:r>
        <w:rPr>
          <w:b/>
          <w:bCs/>
          <w:sz w:val="28"/>
          <w:szCs w:val="28"/>
          <w:u w:val="single"/>
        </w:rPr>
        <w:t>FERIAS Y FESTIVALES</w:t>
      </w:r>
    </w:p>
    <w:p>
      <w:pPr>
        <w:pStyle w:val="Normal"/>
        <w:jc w:val="center"/>
        <w:rPr>
          <w:rFonts w:ascii="Noto Sans" w:hAnsi="Noto Sans"/>
          <w:b/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ACREDITACIÓN DE LOS REQUISITOS EXIGIDOS EN LA CONVOCATORIA</w:t>
      </w:r>
    </w:p>
    <w:tbl>
      <w:tblPr>
        <w:tblW w:w="14573" w:type="dxa"/>
        <w:jc w:val="left"/>
        <w:tblInd w:w="-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4838"/>
        <w:gridCol w:w="9734"/>
      </w:tblGrid>
      <w:tr>
        <w:trPr/>
        <w:tc>
          <w:tcPr>
            <w:tcW w:w="145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285" w:after="285"/>
              <w:jc w:val="left"/>
              <w:rPr>
                <w:rFonts w:ascii="Noto Sans" w:hAnsi="Noto Sans"/>
                <w:b/>
                <w:b/>
                <w:bCs/>
                <w:color w:val="auto"/>
                <w:sz w:val="22"/>
                <w:szCs w:val="22"/>
              </w:rPr>
            </w:pPr>
            <w:r>
              <w:rPr>
                <w:b/>
                <w:bCs/>
                <w:color w:val="auto"/>
                <w:sz w:val="22"/>
                <w:szCs w:val="22"/>
              </w:rPr>
              <w:t>La actividad objeto de la subvención debe tener como una de sus finalidades, de forma comprobable, la proyección exterior de los artistas de las</w:t>
            </w:r>
            <w:bookmarkStart w:id="0" w:name="__DdeLink__51_3222906096"/>
            <w:r>
              <w:rPr>
                <w:b/>
                <w:bCs/>
                <w:color w:val="auto"/>
                <w:sz w:val="22"/>
                <w:szCs w:val="22"/>
              </w:rPr>
              <w:t xml:space="preserve"> Illes Balears</w:t>
            </w:r>
            <w:bookmarkEnd w:id="0"/>
            <w:r>
              <w:rPr>
                <w:b/>
                <w:bCs/>
                <w:color w:val="auto"/>
                <w:sz w:val="22"/>
                <w:szCs w:val="22"/>
              </w:rPr>
              <w:t>. Los eventos deben cumplir, como mínimo, dos de estos requisitos:</w:t>
            </w:r>
          </w:p>
        </w:tc>
      </w:tr>
      <w:tr>
        <w:trPr/>
        <w:tc>
          <w:tcPr>
            <w:tcW w:w="4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Participación y actividad profesional de programadores, distribuidores, productores, gestores y mediadores culturales, comisarios, críticos, etc. de fuera de las Illes Balears invitados por la organización en un número mínimo de 3.</w:t>
            </w:r>
          </w:p>
          <w:p>
            <w:pPr>
              <w:pStyle w:val="Normal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</w:r>
          </w:p>
          <w:p>
            <w:pPr>
              <w:pStyle w:val="Normal"/>
              <w:jc w:val="right"/>
              <w:rPr>
                <w:rFonts w:ascii="Noto Sans" w:hAnsi="Noto Sans"/>
                <w:b/>
                <w:b/>
                <w:bCs/>
                <w:i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*Especifica quiénes son, su procedencia, y qué actividad realizan dentro del evento</w:t>
            </w:r>
          </w:p>
        </w:tc>
        <w:tc>
          <w:tcPr>
            <w:tcW w:w="9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Participación en algún programa de intercambio con otros eventos similares que garanticen la presencia de la producción cultural de las Illes Balears en el exterior.</w:t>
            </w:r>
          </w:p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</w:r>
          </w:p>
          <w:p>
            <w:pPr>
              <w:pStyle w:val="Normal"/>
              <w:jc w:val="right"/>
              <w:rPr>
                <w:rFonts w:ascii="Noto Sans" w:hAnsi="Noto Sans"/>
                <w:b/>
                <w:b/>
                <w:bCs/>
                <w:i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*Especifica con qué otro evento se hace el intercambio y qué artistas participan</w:t>
            </w:r>
          </w:p>
        </w:tc>
        <w:tc>
          <w:tcPr>
            <w:tcW w:w="9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Organización, dentro del programa del evento, de jornadas orientadas al público profesional con el objetivo de servir de fuente de intercambio de conocimientos </w:t>
            </w:r>
            <w:r>
              <w:rPr>
                <w:b/>
                <w:bCs/>
                <w:color w:val="auto"/>
                <w:sz w:val="20"/>
                <w:szCs w:val="20"/>
                <w:highlight w:val="white"/>
              </w:rPr>
              <w:t>, espacio de encuentro de artistas con programadores, profesionalización de los artistas locales, etc.</w:t>
            </w:r>
          </w:p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color w:val="auto"/>
                <w:sz w:val="22"/>
                <w:szCs w:val="22"/>
                <w:highlight w:val="white"/>
              </w:rPr>
            </w:pPr>
            <w:r>
              <w:rPr>
                <w:b/>
                <w:bCs/>
                <w:color w:val="auto"/>
                <w:sz w:val="22"/>
                <w:szCs w:val="22"/>
                <w:highlight w:val="white"/>
              </w:rPr>
              <w:t xml:space="preserve"> </w:t>
            </w:r>
          </w:p>
          <w:p>
            <w:pPr>
              <w:pStyle w:val="Normal"/>
              <w:jc w:val="right"/>
              <w:rPr>
                <w:rFonts w:ascii="Noto Sans" w:hAnsi="Noto Sans"/>
                <w:b/>
                <w:b/>
                <w:bCs/>
                <w:i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trike w:val="false"/>
                <w:dstrike w:val="false"/>
                <w:outline w:val="false"/>
                <w:shadow w:val="false"/>
                <w:color w:val="auto"/>
                <w:spacing w:val="0"/>
                <w:kern w:val="2"/>
                <w:sz w:val="18"/>
                <w:szCs w:val="18"/>
                <w:highlight w:val="white"/>
                <w:u w:val="none"/>
                <w:em w:val="none"/>
                <w:lang w:val="ca-ES" w:eastAsia="en-US"/>
              </w:rPr>
              <w:t>*Especificar el programa y las personas acreditadas</w:t>
            </w:r>
          </w:p>
        </w:tc>
        <w:tc>
          <w:tcPr>
            <w:tcW w:w="9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1525" w:hRule="atLeast"/>
        </w:trPr>
        <w:tc>
          <w:tcPr>
            <w:tcW w:w="145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E0C2CD" w:val="clear"/>
          </w:tcPr>
          <w:p>
            <w:pPr>
              <w:pStyle w:val="Normal"/>
              <w:spacing w:before="285" w:after="285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Para optar a subvención es necesario que los eventos tengan programados, como mínimo, un 30% de artistas y agentes culturales de las Illes Balears, que estos profesionales sean remunerados y que tengan presencia la comunicación del evento y en el cartel principal.</w:t>
            </w:r>
          </w:p>
        </w:tc>
      </w:tr>
      <w:tr>
        <w:trPr/>
        <w:tc>
          <w:tcPr>
            <w:tcW w:w="4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Programación completa del evento especificando qué artistas y agentes culturales son de las Illes Balears y cuáles son de fuera</w:t>
            </w:r>
          </w:p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9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Normal"/>
              <w:rPr>
                <w:rFonts w:ascii="Noto Sans" w:hAnsi="Noto Sans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Normal"/>
              <w:rPr>
                <w:rFonts w:ascii="Noto Sans" w:hAnsi="Noto Sans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Normal"/>
              <w:rPr>
                <w:rFonts w:ascii="Noto Sans" w:hAnsi="Noto Sans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45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E8F2A1" w:val="clear"/>
          </w:tcPr>
          <w:p>
            <w:pPr>
              <w:pStyle w:val="Normal"/>
              <w:spacing w:lineRule="auto" w:line="240" w:before="285" w:after="285"/>
              <w:jc w:val="left"/>
              <w:rPr>
                <w:rFonts w:ascii="Noto Sans" w:hAnsi="Noto Sans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*No son objeto de esta convocatoria y, por tanto, quedan excluidos:</w:t>
            </w:r>
          </w:p>
        </w:tc>
      </w:tr>
      <w:tr>
        <w:trPr/>
        <w:tc>
          <w:tcPr>
            <w:tcW w:w="145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tabs>
                <w:tab w:val="clear" w:pos="709"/>
                <w:tab w:val="left" w:pos="-338" w:leader="none"/>
              </w:tabs>
              <w:spacing w:lineRule="auto" w:line="240"/>
              <w:ind w:left="340" w:right="0" w:hanging="340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</w:rPr>
            </w:pPr>
            <w:r>
              <w:rPr>
                <w:b w:val="false"/>
                <w:bCs w:val="false"/>
                <w:color w:val="000000"/>
                <w:sz w:val="22"/>
                <w:szCs w:val="22"/>
              </w:rPr>
              <w:t>Las ferias, festivales y jornadas que se lleven a cabo por primera vez.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clear" w:pos="709"/>
                <w:tab w:val="left" w:pos="-338" w:leader="none"/>
              </w:tabs>
              <w:spacing w:lineRule="auto" w:line="240"/>
              <w:ind w:left="340" w:right="0" w:hanging="340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</w:rPr>
            </w:pPr>
            <w:r>
              <w:rPr>
                <w:b w:val="false"/>
                <w:bCs w:val="false"/>
                <w:color w:val="000000"/>
                <w:sz w:val="22"/>
                <w:szCs w:val="22"/>
              </w:rPr>
              <w:t>Los centros de creación.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clear" w:pos="709"/>
                <w:tab w:val="left" w:pos="-338" w:leader="none"/>
              </w:tabs>
              <w:spacing w:lineRule="auto" w:line="240"/>
              <w:ind w:left="340" w:right="0" w:hanging="340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</w:rPr>
            </w:pPr>
            <w:r>
              <w:rPr>
                <w:b w:val="false"/>
                <w:bCs w:val="false"/>
                <w:color w:val="000000"/>
                <w:sz w:val="22"/>
                <w:szCs w:val="22"/>
              </w:rPr>
              <w:t>Los ciclos de conciertos de un mismo artista o grupo musical y las temporadas teatrales de un solo artista.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clear" w:pos="709"/>
                <w:tab w:val="left" w:pos="-338" w:leader="none"/>
              </w:tabs>
              <w:spacing w:lineRule="auto" w:line="240"/>
              <w:ind w:left="340" w:right="0" w:hanging="340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</w:rPr>
            </w:pPr>
            <w:r>
              <w:rPr>
                <w:b w:val="false"/>
                <w:bCs w:val="false"/>
                <w:color w:val="000000"/>
                <w:sz w:val="22"/>
                <w:szCs w:val="22"/>
              </w:rPr>
              <w:t>Las programaciones estables de un espacio de exhibición.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clear" w:pos="709"/>
                <w:tab w:val="left" w:pos="-338" w:leader="none"/>
              </w:tabs>
              <w:spacing w:lineRule="auto" w:line="240"/>
              <w:ind w:left="340" w:right="0" w:hanging="340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</w:rPr>
            </w:pPr>
            <w:r>
              <w:rPr>
                <w:b w:val="false"/>
                <w:bCs w:val="false"/>
                <w:color w:val="000000"/>
                <w:sz w:val="22"/>
                <w:szCs w:val="22"/>
              </w:rPr>
              <w:t>Las programaciones de todo el año.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clear" w:pos="709"/>
                <w:tab w:val="left" w:pos="-338" w:leader="none"/>
              </w:tabs>
              <w:spacing w:lineRule="auto" w:line="240"/>
              <w:ind w:left="340" w:right="0" w:hanging="340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</w:rPr>
            </w:pPr>
            <w:r>
              <w:rPr>
                <w:b w:val="false"/>
                <w:bCs w:val="false"/>
                <w:color w:val="000000"/>
                <w:sz w:val="22"/>
                <w:szCs w:val="22"/>
              </w:rPr>
              <w:t xml:space="preserve">Los ciclos de conciertos, </w:t>
            </w:r>
            <w:r>
              <w:rPr>
                <w:rStyle w:val="Fuentedeprrafopredeter"/>
                <w:b w:val="false"/>
                <w:bCs w:val="false"/>
                <w:color w:val="000000"/>
                <w:sz w:val="22"/>
                <w:szCs w:val="22"/>
              </w:rPr>
              <w:t xml:space="preserve">exceptuando los de la modalidad </w:t>
            </w:r>
            <w:r>
              <w:rPr>
                <w:rStyle w:val="Fuentedeprrafopredeter"/>
                <w:b w:val="false"/>
                <w:bCs w:val="false"/>
                <w:i/>
                <w:iCs/>
                <w:color w:val="000000"/>
                <w:sz w:val="22"/>
                <w:szCs w:val="22"/>
              </w:rPr>
              <w:t>i).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clear" w:pos="709"/>
                <w:tab w:val="left" w:pos="-338" w:leader="none"/>
              </w:tabs>
              <w:spacing w:lineRule="auto" w:line="240"/>
              <w:ind w:left="340" w:right="0" w:hanging="340"/>
              <w:jc w:val="left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</w:rPr>
            </w:pPr>
            <w:r>
              <w:rPr>
                <w:b w:val="false"/>
                <w:bCs w:val="false"/>
                <w:color w:val="000000"/>
                <w:sz w:val="22"/>
                <w:szCs w:val="22"/>
              </w:rPr>
              <w:t>Las galerías de arte.</w:t>
            </w:r>
          </w:p>
          <w:p>
            <w:pPr>
              <w:pStyle w:val="Normal"/>
              <w:numPr>
                <w:ilvl w:val="0"/>
                <w:numId w:val="0"/>
              </w:numPr>
              <w:tabs>
                <w:tab w:val="clear" w:pos="709"/>
                <w:tab w:val="left" w:pos="-338" w:leader="none"/>
              </w:tabs>
              <w:spacing w:lineRule="auto" w:line="240"/>
              <w:ind w:left="720" w:right="0" w:hanging="0"/>
              <w:jc w:val="left"/>
              <w:rPr>
                <w:rFonts w:ascii="Noto Sans" w:hAnsi="Noto Sans"/>
                <w:b w:val="false"/>
                <w:b w:val="false"/>
                <w:bCs w:val="false"/>
                <w:color w:val="000000"/>
                <w:sz w:val="22"/>
                <w:szCs w:val="22"/>
              </w:rPr>
            </w:pPr>
            <w:r>
              <w:rPr>
                <w:b w:val="false"/>
                <w:bCs w:val="false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145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FFDBB6" w:val="clear"/>
          </w:tcPr>
          <w:p>
            <w:pPr>
              <w:pStyle w:val="Normal"/>
              <w:tabs>
                <w:tab w:val="clear" w:pos="709"/>
                <w:tab w:val="left" w:pos="-338" w:leader="none"/>
              </w:tabs>
              <w:spacing w:lineRule="auto" w:line="276" w:before="57" w:after="57"/>
              <w:ind w:left="340" w:right="0" w:hanging="340"/>
              <w:rPr>
                <w:rFonts w:ascii="Noto Sans" w:hAnsi="Noto Sans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*No se pueden subvencionar proyectos que vulneren los derechos de los colectivos LGTBI, los derechos de las mujeres o los derechos humanos.</w:t>
            </w:r>
          </w:p>
        </w:tc>
      </w:tr>
    </w:tbl>
    <w:p>
      <w:pPr>
        <w:pStyle w:val="Normal"/>
        <w:rPr/>
      </w:pPr>
      <w:r>
        <w:rPr/>
      </w:r>
    </w:p>
    <w:sectPr>
      <w:type w:val="nextPage"/>
      <w:pgSz w:orient="landscape" w:w="16838" w:h="11906"/>
      <w:pgMar w:left="1134" w:right="1134" w:header="0" w:top="1134" w:footer="0" w:bottom="1134" w:gutter="0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Noto Sans">
    <w:charset w:val="01"/>
    <w:family w:val="swiss"/>
    <w:pitch w:val="default"/>
  </w:font>
  <w:font w:name="OpenSymbol">
    <w:altName w:val="Arial Unicode MS"/>
    <w:charset w:val="01"/>
    <w:family w:val="swiss"/>
    <w:pitch w:val="default"/>
  </w:font>
  <w:font w:name="OpenSymbol">
    <w:altName w:val="Arial Unicode MS"/>
    <w:charset w:val="01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rFonts w:ascii="OpenSymbol" w:hAnsi="OpenSymbol" w:cs="OpenSymbol" w:hint="default"/>
        <w:sz w:val="22"/>
        <w:u w:val="none"/>
        <w:b w:val="false"/>
        <w:rFonts w:cs="OpenSymbol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OpenSymbol" w:hAnsi="OpenSymbol" w:cs="OpenSymbol" w:hint="default"/>
        <w:u w:val="none"/>
        <w:rFonts w:cs="OpenSymbol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OpenSymbol" w:hAnsi="OpenSymbol" w:cs="OpenSymbol" w:hint="default"/>
        <w:u w:val="none"/>
        <w:rFonts w:cs="OpenSymbol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OpenSymbol" w:hAnsi="OpenSymbol" w:cs="OpenSymbol" w:hint="default"/>
        <w:u w:val="none"/>
        <w:rFonts w:cs="OpenSymbol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OpenSymbol" w:hAnsi="OpenSymbol" w:cs="OpenSymbol" w:hint="default"/>
        <w:u w:val="none"/>
        <w:rFonts w:cs="OpenSymbol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OpenSymbol" w:hAnsi="OpenSymbol" w:cs="OpenSymbol" w:hint="default"/>
        <w:u w:val="none"/>
        <w:rFonts w:cs="OpenSymbol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OpenSymbol" w:hAnsi="OpenSymbol" w:cs="OpenSymbol" w:hint="default"/>
        <w:u w:val="none"/>
        <w:rFonts w:cs="OpenSymbol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OpenSymbol" w:hAnsi="OpenSymbol" w:cs="OpenSymbol" w:hint="default"/>
        <w:u w:val="none"/>
        <w:rFonts w:cs="OpenSymbol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OpenSymbol" w:hAnsi="OpenSymbol" w:cs="OpenSymbol" w:hint="default"/>
        <w:u w:val="none"/>
        <w:rFonts w:cs="OpenSymbol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Noto Sans" w:hAnsi="Noto Sans" w:eastAsia="NSimSun" w:cs="Arial"/>
        <w:kern w:val="2"/>
        <w:szCs w:val="24"/>
        <w:lang w:val="es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overflowPunct w:val="false"/>
      <w:bidi w:val="0"/>
      <w:jc w:val="left"/>
    </w:pPr>
    <w:rPr>
      <w:rFonts w:ascii="Noto Sans" w:hAnsi="Noto Sans" w:eastAsia="NSimSun" w:cs="Arial"/>
      <w:color w:val="auto"/>
      <w:kern w:val="2"/>
      <w:sz w:val="24"/>
      <w:szCs w:val="24"/>
      <w:lang w:val="es" w:eastAsia="zh-CN" w:bidi="hi-IN"/>
    </w:rPr>
  </w:style>
  <w:style w:type="character" w:styleId="ListLabel10">
    <w:name w:val="ListLabel 10"/>
    <w:qFormat/>
    <w:rPr>
      <w:rFonts w:ascii="Noto Sans" w:hAnsi="Noto Sans"/>
      <w:u w:val="none"/>
    </w:rPr>
  </w:style>
  <w:style w:type="character" w:styleId="ListLabel11">
    <w:name w:val="ListLabel 11"/>
    <w:qFormat/>
    <w:rPr>
      <w:u w:val="none"/>
    </w:rPr>
  </w:style>
  <w:style w:type="character" w:styleId="ListLabel12">
    <w:name w:val="ListLabel 12"/>
    <w:qFormat/>
    <w:rPr>
      <w:u w:val="none"/>
    </w:rPr>
  </w:style>
  <w:style w:type="character" w:styleId="ListLabel13">
    <w:name w:val="ListLabel 13"/>
    <w:qFormat/>
    <w:rPr>
      <w:u w:val="none"/>
    </w:rPr>
  </w:style>
  <w:style w:type="character" w:styleId="ListLabel14">
    <w:name w:val="ListLabel 14"/>
    <w:qFormat/>
    <w:rPr>
      <w:u w:val="none"/>
    </w:rPr>
  </w:style>
  <w:style w:type="character" w:styleId="ListLabel15">
    <w:name w:val="ListLabel 15"/>
    <w:qFormat/>
    <w:rPr>
      <w:u w:val="none"/>
    </w:rPr>
  </w:style>
  <w:style w:type="character" w:styleId="ListLabel16">
    <w:name w:val="ListLabel 16"/>
    <w:qFormat/>
    <w:rPr>
      <w:u w:val="none"/>
    </w:rPr>
  </w:style>
  <w:style w:type="character" w:styleId="ListLabel17">
    <w:name w:val="ListLabel 17"/>
    <w:qFormat/>
    <w:rPr>
      <w:u w:val="none"/>
    </w:rPr>
  </w:style>
  <w:style w:type="character" w:styleId="ListLabel18">
    <w:name w:val="ListLabel 18"/>
    <w:qFormat/>
    <w:rPr>
      <w:u w:val="none"/>
    </w:rPr>
  </w:style>
  <w:style w:type="character" w:styleId="Fuentedeprrafopredeter">
    <w:name w:val="Fuente de párrafo predeter."/>
    <w:qFormat/>
    <w:rPr/>
  </w:style>
  <w:style w:type="character" w:styleId="Pics">
    <w:name w:val="Pics"/>
    <w:qFormat/>
    <w:rPr>
      <w:rFonts w:ascii="OpenSymbol" w:hAnsi="OpenSymbol" w:eastAsia="OpenSymbol" w:cs="OpenSymbol"/>
    </w:rPr>
  </w:style>
  <w:style w:type="character" w:styleId="ListLabel19">
    <w:name w:val="ListLabel 19"/>
    <w:qFormat/>
    <w:rPr>
      <w:rFonts w:ascii="Noto Sans" w:hAnsi="Noto Sans" w:cs="OpenSymbol"/>
      <w:b w:val="false"/>
      <w:sz w:val="22"/>
      <w:u w:val="none"/>
    </w:rPr>
  </w:style>
  <w:style w:type="character" w:styleId="ListLabel20">
    <w:name w:val="ListLabel 20"/>
    <w:qFormat/>
    <w:rPr>
      <w:rFonts w:cs="OpenSymbol"/>
      <w:u w:val="none"/>
    </w:rPr>
  </w:style>
  <w:style w:type="character" w:styleId="ListLabel21">
    <w:name w:val="ListLabel 21"/>
    <w:qFormat/>
    <w:rPr>
      <w:rFonts w:cs="OpenSymbol"/>
      <w:u w:val="none"/>
    </w:rPr>
  </w:style>
  <w:style w:type="character" w:styleId="ListLabel22">
    <w:name w:val="ListLabel 22"/>
    <w:qFormat/>
    <w:rPr>
      <w:rFonts w:cs="OpenSymbol"/>
      <w:u w:val="none"/>
    </w:rPr>
  </w:style>
  <w:style w:type="character" w:styleId="ListLabel23">
    <w:name w:val="ListLabel 23"/>
    <w:qFormat/>
    <w:rPr>
      <w:rFonts w:cs="OpenSymbol"/>
      <w:u w:val="none"/>
    </w:rPr>
  </w:style>
  <w:style w:type="character" w:styleId="ListLabel24">
    <w:name w:val="ListLabel 24"/>
    <w:qFormat/>
    <w:rPr>
      <w:rFonts w:cs="OpenSymbol"/>
      <w:u w:val="none"/>
    </w:rPr>
  </w:style>
  <w:style w:type="character" w:styleId="ListLabel25">
    <w:name w:val="ListLabel 25"/>
    <w:qFormat/>
    <w:rPr>
      <w:rFonts w:cs="OpenSymbol"/>
      <w:u w:val="none"/>
    </w:rPr>
  </w:style>
  <w:style w:type="character" w:styleId="ListLabel26">
    <w:name w:val="ListLabel 26"/>
    <w:qFormat/>
    <w:rPr>
      <w:rFonts w:cs="OpenSymbol"/>
      <w:u w:val="none"/>
    </w:rPr>
  </w:style>
  <w:style w:type="character" w:styleId="ListLabel27">
    <w:name w:val="ListLabel 27"/>
    <w:qFormat/>
    <w:rPr>
      <w:rFonts w:cs="OpenSymbol"/>
      <w:u w:val="none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Noto Sans" w:hAnsi="Noto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ascii="Noto Sans" w:hAnsi="Noto Sans"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ascii="Noto Sans" w:hAnsi="Noto Sans" w:cs="Arial"/>
      <w:i/>
      <w:iCs/>
      <w:sz w:val="18"/>
      <w:szCs w:val="24"/>
    </w:rPr>
  </w:style>
  <w:style w:type="paragraph" w:styleId="Ndex">
    <w:name w:val="Índex"/>
    <w:basedOn w:val="Normal"/>
    <w:qFormat/>
    <w:pPr>
      <w:suppressLineNumbers/>
    </w:pPr>
    <w:rPr>
      <w:rFonts w:ascii="Noto Sans" w:hAnsi="Noto Sans" w:cs="Arial"/>
    </w:rPr>
  </w:style>
  <w:style w:type="paragraph" w:styleId="Contingutdelataula">
    <w:name w:val="Contingut de la taula"/>
    <w:basedOn w:val="Normal"/>
    <w:qFormat/>
    <w:pPr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40</TotalTime>
  <Application>LibreOffice/6.1.5.2$Windows_x86 LibreOffice_project/90f8dcf33c87b3705e78202e3df5142b201bd805</Application>
  <Pages>2</Pages>
  <Words>342</Words>
  <Characters>1869</Characters>
  <CharactersWithSpaces>2184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2024-02-01T10:11:31Z</dcterms:created>
  <dc:creator/>
  <dc:description/>
  <dc:language>ca-ES</dc:language>
  <cp:lastModifiedBy/>
  <dcterms:modified xsi:type="dcterms:W3CDTF">2024-02-27T08:21:28Z</dcterms:modified>
  <cp:revision>4</cp:revision>
  <dc:subject/>
  <dc:title/>
</cp:coreProperties>
</file>