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8"/>
          <w:szCs w:val="28"/>
          <w:u w:val="single"/>
        </w:rPr>
      </w:pPr>
      <w:r>
        <w:rPr>
          <w:rFonts w:ascii="Noto Sans" w:hAnsi="Noto Sans"/>
          <w:b/>
          <w:bCs/>
          <w:sz w:val="28"/>
          <w:szCs w:val="28"/>
          <w:u w:val="single"/>
        </w:rPr>
        <w:t>INSTITUTO DE ESTUDIOS BALEÁRICOS</w:t>
      </w:r>
    </w:p>
    <w:p>
      <w:pPr>
        <w:pStyle w:val="Cosdeltext"/>
        <w:jc w:val="left"/>
        <w:rPr>
          <w:rFonts w:ascii="Noto Sans" w:hAnsi="Noto Sans"/>
          <w:b/>
          <w:b/>
          <w:bCs/>
          <w:sz w:val="28"/>
          <w:szCs w:val="28"/>
        </w:rPr>
      </w:pPr>
      <w:r>
        <w:rPr>
          <w:rFonts w:ascii="Noto Sans" w:hAnsi="Noto Sans"/>
          <w:b/>
          <w:bCs/>
          <w:sz w:val="28"/>
          <w:szCs w:val="28"/>
          <w:u w:val="single"/>
        </w:rPr>
        <w:t>FERIAS Y FESTIVALES</w:t>
      </w:r>
    </w:p>
    <w:p>
      <w:pPr>
        <w:pStyle w:val="Cosdeltext"/>
        <w:jc w:val="left"/>
        <w:rPr>
          <w:rFonts w:ascii="Noto Sans" w:hAnsi="Noto Sans"/>
          <w:b/>
          <w:b/>
          <w:bCs/>
          <w:sz w:val="28"/>
          <w:szCs w:val="28"/>
          <w:u w:val="single"/>
        </w:rPr>
      </w:pPr>
      <w:r>
        <w:rPr>
          <w:rFonts w:ascii="Noto Sans" w:hAnsi="Noto Sans"/>
          <w:b/>
          <w:bCs/>
          <w:sz w:val="28"/>
          <w:szCs w:val="28"/>
          <w:u w:val="single"/>
        </w:rPr>
      </w:r>
    </w:p>
    <w:p>
      <w:pPr>
        <w:pStyle w:val="Cosdeltext"/>
        <w:jc w:val="center"/>
        <w:rPr>
          <w:rFonts w:ascii="Noto Sans" w:hAnsi="Noto Sans"/>
          <w:sz w:val="28"/>
          <w:szCs w:val="28"/>
        </w:rPr>
      </w:pPr>
      <w:r>
        <w:rPr>
          <w:rFonts w:ascii="Noto Sans" w:hAnsi="Noto Sans"/>
          <w:b/>
          <w:bCs/>
          <w:sz w:val="28"/>
          <w:szCs w:val="28"/>
        </w:rPr>
        <w:t>Memoria del proyecto</w:t>
      </w:r>
      <w:r>
        <w:rPr>
          <w:rStyle w:val="Ncoradenotaalpeu"/>
          <w:rStyle w:val="Ncoradenotaalpeu"/>
          <w:rFonts w:ascii="Noto Sans" w:hAnsi="Noto Sans"/>
          <w:b/>
          <w:bCs/>
          <w:sz w:val="28"/>
          <w:szCs w:val="28"/>
        </w:rPr>
        <w:footnoteReference w:id="2"/>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FFA6" w:val="clear"/>
          </w:tcPr>
          <w:p>
            <w:pPr>
              <w:pStyle w:val="Normal"/>
              <w:jc w:val="center"/>
              <w:rPr>
                <w:rFonts w:ascii="Noto Sans" w:hAnsi="Noto Sans"/>
                <w:b/>
                <w:b/>
                <w:bCs/>
                <w:sz w:val="20"/>
                <w:szCs w:val="20"/>
              </w:rPr>
            </w:pPr>
            <w:r>
              <w:rPr>
                <w:rFonts w:ascii="Noto Sans" w:hAnsi="Noto Sans"/>
                <w:b/>
                <w:bCs/>
                <w:sz w:val="20"/>
                <w:szCs w:val="20"/>
              </w:rPr>
              <w:t>OBJETIVOS GENERALES DEL PROYECTO</w:t>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D428" w:val="clear"/>
          </w:tcPr>
          <w:p>
            <w:pPr>
              <w:pStyle w:val="Contingutdelataula"/>
              <w:jc w:val="center"/>
              <w:rPr>
                <w:rFonts w:ascii="Noto Sans" w:hAnsi="Noto Sans"/>
                <w:b/>
                <w:b/>
                <w:bCs/>
                <w:sz w:val="20"/>
                <w:szCs w:val="20"/>
              </w:rPr>
            </w:pPr>
            <w:r>
              <w:rPr>
                <w:rFonts w:ascii="Noto Sans" w:hAnsi="Noto Sans"/>
                <w:b/>
                <w:bCs/>
                <w:sz w:val="20"/>
                <w:szCs w:val="20"/>
              </w:rPr>
              <w:t>PROGRAMACIÓN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La programación oficial combina artistas de más de una isla.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Incluye programación internacional.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La programación combina nuevos talentos y autores afianzados.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evento fomenta la profesionalización de los artistas o agentes contratados.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972F" w:val="clear"/>
          </w:tcPr>
          <w:p>
            <w:pPr>
              <w:pStyle w:val="Contingutdelataula"/>
              <w:jc w:val="center"/>
              <w:rPr>
                <w:rFonts w:ascii="Noto Sans" w:hAnsi="Noto Sans"/>
                <w:b/>
                <w:b/>
                <w:bCs/>
                <w:sz w:val="20"/>
                <w:szCs w:val="20"/>
              </w:rPr>
            </w:pPr>
            <w:r>
              <w:rPr>
                <w:rFonts w:ascii="Noto Sans" w:hAnsi="Noto Sans"/>
                <w:b/>
                <w:bCs/>
                <w:sz w:val="20"/>
                <w:szCs w:val="20"/>
              </w:rPr>
              <w:t>PROGRAMA PROFESIONAL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Trayectoria de los ponentes e invitados</w:t>
            </w:r>
          </w:p>
          <w:p>
            <w:pPr>
              <w:pStyle w:val="Normal"/>
              <w:jc w:val="left"/>
              <w:rPr>
                <w:rFonts w:ascii="Noto Sans" w:hAnsi="Noto Sans"/>
                <w:b w:val="false"/>
                <w:b w:val="false"/>
                <w:bCs w:val="false"/>
                <w:sz w:val="18"/>
                <w:szCs w:val="20"/>
              </w:rPr>
            </w:pPr>
            <w:r>
              <w:rPr>
                <w:rFonts w:ascii="Noto Sans" w:hAnsi="Noto Sans"/>
                <w:b w:val="false"/>
                <w:bCs w:val="false"/>
                <w:sz w:val="18"/>
                <w:szCs w:val="20"/>
              </w:rPr>
            </w:r>
          </w:p>
          <w:p>
            <w:pPr>
              <w:pStyle w:val="Normal"/>
              <w:jc w:val="left"/>
              <w:rPr>
                <w:rFonts w:ascii="Noto Sans" w:hAnsi="Noto Sans"/>
                <w:b w:val="false"/>
                <w:b w:val="false"/>
                <w:bCs w:val="false"/>
                <w:sz w:val="20"/>
                <w:szCs w:val="20"/>
              </w:rPr>
            </w:pPr>
            <w:r>
              <w:rPr>
                <w:rFonts w:ascii="Noto Sans" w:hAnsi="Noto Sans"/>
                <w:b w:val="false"/>
                <w:bCs w:val="false"/>
                <w:sz w:val="20"/>
                <w:szCs w:val="20"/>
              </w:rPr>
              <w:t>Lista de los profesionales acreditados asistentes (programadores, distribuidores, productores, gestores y mediadores culturales, comisarios, críticos, etc.), en los que se distingan de forma clara los que son de fuera de las Islas Baleares.</w:t>
            </w:r>
          </w:p>
          <w:p>
            <w:pPr>
              <w:pStyle w:val="Normal"/>
              <w:jc w:val="left"/>
              <w:rPr>
                <w:rFonts w:ascii="Noto Sans" w:hAnsi="Noto Sans"/>
                <w:sz w:val="18"/>
              </w:rPr>
            </w:pPr>
            <w:r>
              <w:rPr>
                <w:rFonts w:ascii="Noto Sans" w:hAnsi="Noto Sans"/>
                <w:sz w:val="18"/>
              </w:rPr>
            </w:r>
          </w:p>
          <w:p>
            <w:pPr>
              <w:pStyle w:val="Normal"/>
              <w:jc w:val="right"/>
              <w:rPr>
                <w:rFonts w:ascii="Noto Sans" w:hAnsi="Noto Sans"/>
                <w:b w:val="false"/>
                <w:b w:val="false"/>
                <w:bCs w:val="false"/>
                <w:i w:val="false"/>
                <w:i w:val="false"/>
                <w:iCs w:val="false"/>
                <w:sz w:val="16"/>
                <w:szCs w:val="16"/>
              </w:rPr>
            </w:pPr>
            <w:r>
              <w:rPr>
                <w:rFonts w:ascii="Noto Sans" w:hAnsi="Noto Sans"/>
                <w:b w:val="false"/>
                <w:bCs w:val="false"/>
                <w:i w:val="false"/>
                <w:iCs w:val="false"/>
                <w:sz w:val="16"/>
                <w:szCs w:val="16"/>
              </w:rPr>
              <w:t>* En caso de no disponer de la lista de la edición actual, es necesario adjuntar la de la edición anterior.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Actividades planteadas para profesionales</w:t>
            </w:r>
          </w:p>
          <w:p>
            <w:pPr>
              <w:pStyle w:val="Normal"/>
              <w:rPr>
                <w:rFonts w:ascii="Noto Sans" w:hAnsi="Noto Sans"/>
                <w:b/>
                <w:b/>
                <w:bCs/>
                <w:sz w:val="20"/>
                <w:szCs w:val="20"/>
              </w:rPr>
            </w:pPr>
            <w:r>
              <w:rPr>
                <w:rFonts w:ascii="Noto Sans" w:hAnsi="Noto Sans"/>
                <w:b/>
                <w:bCs/>
                <w:sz w:val="20"/>
                <w:szCs w:val="20"/>
              </w:rPr>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6D6D" w:val="clear"/>
          </w:tcPr>
          <w:p>
            <w:pPr>
              <w:pStyle w:val="Contingutdelataula"/>
              <w:jc w:val="center"/>
              <w:rPr>
                <w:rFonts w:ascii="Noto Sans" w:hAnsi="Noto Sans"/>
                <w:b/>
                <w:b/>
                <w:bCs/>
                <w:sz w:val="20"/>
                <w:szCs w:val="20"/>
              </w:rPr>
            </w:pPr>
            <w:r>
              <w:rPr>
                <w:rFonts w:ascii="Noto Sans" w:hAnsi="Noto Sans"/>
                <w:b/>
                <w:bCs/>
                <w:sz w:val="20"/>
                <w:szCs w:val="20"/>
              </w:rPr>
              <w:t>POTENCIAL DE PROYECCIÓN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evento cuenta con un plan de comunicación de alcance nacional y/o internacional.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evento se realiza en coproducción con agentes culturales nacionales y/o internacionales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evento logra la proyección exterior de los artistas baleares: intercambios de artistas baleares con otros eventos similares, consigue contratación de los artistas baleares para tocar fuera de la isla de residencia...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highlight w:val="white"/>
                <w:lang w:val="ca-ES" w:eastAsia="en-US"/>
              </w:rPr>
            </w:pPr>
            <w:r>
              <w:rPr>
                <w:rFonts w:eastAsia="Noto Sans" w:cs="Noto Sans" w:ascii="Noto Sans" w:hAnsi="Noto Sans"/>
                <w:b/>
                <w:bCs/>
                <w:i w:val="false"/>
                <w:strike w:val="false"/>
                <w:dstrike w:val="false"/>
                <w:outline w:val="false"/>
                <w:shadow w:val="false"/>
                <w:color w:val="auto"/>
                <w:sz w:val="20"/>
                <w:szCs w:val="20"/>
                <w:highlight w:val="white"/>
                <w:u w:val="none"/>
                <w:em w:val="none"/>
                <w:lang w:val="es-ES" w:eastAsia="en-US" w:bidi="hi-IN"/>
              </w:rPr>
              <w:t>Creación de audiencias. Se valoran los indicadores de espectadores y asistentes, tanto de carácter general como profesional, y las actividades paralelas por la asistencia de nuevos públicos.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F819E" w:val="clear"/>
          </w:tcPr>
          <w:p>
            <w:pPr>
              <w:pStyle w:val="Contingutdelataula"/>
              <w:jc w:val="center"/>
              <w:rPr>
                <w:rFonts w:ascii="Noto Sans" w:hAnsi="Noto Sans"/>
                <w:b/>
                <w:b/>
                <w:bCs/>
                <w:sz w:val="20"/>
                <w:szCs w:val="20"/>
              </w:rPr>
            </w:pPr>
            <w:r>
              <w:rPr>
                <w:rFonts w:ascii="Noto Sans" w:hAnsi="Noto Sans"/>
                <w:b/>
                <w:bCs/>
                <w:sz w:val="20"/>
                <w:szCs w:val="20"/>
              </w:rPr>
              <w:t>INTERÉS CULTURAL DEL EVENTO</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Originalidad y capacidad innovadora del evento.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Calidad del proyecto.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Coherencia en el planteamiento y de los contenidos artísticos y técnicos.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Contribución al panorama artístico actual.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8E86AE" w:val="clear"/>
          </w:tcPr>
          <w:p>
            <w:pPr>
              <w:pStyle w:val="Contingutdelataula"/>
              <w:jc w:val="center"/>
              <w:rPr>
                <w:rFonts w:ascii="Noto Sans" w:hAnsi="Noto Sans"/>
                <w:b/>
                <w:b/>
                <w:bCs/>
                <w:sz w:val="20"/>
                <w:szCs w:val="20"/>
              </w:rPr>
            </w:pPr>
            <w:r>
              <w:rPr>
                <w:rFonts w:ascii="Noto Sans" w:hAnsi="Noto Sans"/>
                <w:b/>
                <w:bCs/>
                <w:sz w:val="20"/>
                <w:szCs w:val="20"/>
              </w:rPr>
              <w:t>ANTIGÜEDAD</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sz w:val="20"/>
                <w:szCs w:val="20"/>
              </w:rPr>
              <w:t>1 punto por edición hasta un máximo de 5 puntos (sin tener en cuenta la edición actual)</w:t>
            </w:r>
          </w:p>
          <w:p>
            <w:pPr>
              <w:pStyle w:val="Normal"/>
              <w:widowControl/>
              <w:spacing w:lineRule="auto" w:line="240" w:before="55" w:after="0"/>
              <w:ind w:left="283" w:right="0" w:hanging="0"/>
              <w:jc w:val="right"/>
              <w:rPr>
                <w:rFonts w:ascii="Noto Sans" w:hAnsi="Noto Sans" w:eastAsia="Noto Sans" w:cs="Noto Sans"/>
                <w:b/>
                <w:b/>
                <w:bCs/>
                <w:sz w:val="20"/>
                <w:szCs w:val="20"/>
              </w:rPr>
            </w:pPr>
            <w:r>
              <w:rPr>
                <w:rFonts w:eastAsia="Noto Sans" w:cs="Noto Sans" w:ascii="Noto Sans" w:hAnsi="Noto Sans"/>
                <w:b/>
                <w:bCs/>
                <w:i/>
                <w:iCs/>
                <w:sz w:val="20"/>
                <w:szCs w:val="20"/>
              </w:rPr>
              <w:t xml:space="preserve">Adjunta un </w:t>
            </w:r>
            <w:r>
              <w:rPr>
                <w:rFonts w:eastAsia="Noto Sans" w:cs="Noto Sans" w:ascii="Noto Sans" w:hAnsi="Noto Sans"/>
                <w:b/>
                <w:bCs/>
                <w:i/>
                <w:iCs/>
                <w:sz w:val="20"/>
                <w:szCs w:val="20"/>
                <w:u w:val="single"/>
              </w:rPr>
              <w:t xml:space="preserve">breve </w:t>
            </w:r>
            <w:r>
              <w:rPr>
                <w:rFonts w:eastAsia="Noto Sans" w:cs="Noto Sans" w:ascii="Noto Sans" w:hAnsi="Noto Sans"/>
                <w:b/>
                <w:bCs/>
                <w:i/>
                <w:iCs/>
                <w:sz w:val="20"/>
                <w:szCs w:val="20"/>
              </w:rPr>
              <w:t>resumen de las ediciones anteriores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DBB6" w:val="clear"/>
          </w:tcPr>
          <w:p>
            <w:pPr>
              <w:pStyle w:val="Normal"/>
              <w:jc w:val="center"/>
              <w:rPr>
                <w:rFonts w:ascii="Noto Sans" w:hAnsi="Noto Sans"/>
                <w:b/>
                <w:b/>
                <w:bCs/>
                <w:sz w:val="20"/>
                <w:szCs w:val="20"/>
              </w:rPr>
            </w:pPr>
            <w:r>
              <w:rPr>
                <w:rFonts w:ascii="Noto Sans" w:hAnsi="Noto Sans"/>
                <w:b/>
                <w:bCs/>
                <w:sz w:val="20"/>
                <w:szCs w:val="20"/>
              </w:rPr>
              <w:t>VIABILIDAD ECONÓMICA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Indique el porcentaje de la cantidad solicitada respecto al presupuesto del proyecto.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81D41A" w:val="clear"/>
          </w:tcPr>
          <w:p>
            <w:pPr>
              <w:pStyle w:val="Contingutdelataula"/>
              <w:jc w:val="center"/>
              <w:rPr>
                <w:rFonts w:ascii="Noto Sans" w:hAnsi="Noto Sans"/>
                <w:b/>
                <w:b/>
                <w:bCs/>
                <w:sz w:val="20"/>
                <w:szCs w:val="20"/>
              </w:rPr>
            </w:pPr>
            <w:r>
              <w:rPr>
                <w:rFonts w:ascii="Noto Sans" w:hAnsi="Noto Sans"/>
                <w:b/>
                <w:bCs/>
                <w:sz w:val="20"/>
                <w:szCs w:val="20"/>
              </w:rPr>
              <w:t>SOSTENIBILIDAD</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Cumplimiento de los ODS de la Agenda 2030.</w:t>
            </w:r>
          </w:p>
          <w:p>
            <w:pPr>
              <w:pStyle w:val="Normal"/>
              <w:jc w:val="left"/>
              <w:rPr>
                <w:rFonts w:ascii="Noto Sans" w:hAnsi="Noto Sans"/>
                <w:b/>
                <w:b/>
                <w:bCs/>
                <w:sz w:val="20"/>
                <w:szCs w:val="20"/>
              </w:rPr>
            </w:pPr>
            <w:r>
              <w:rPr>
                <w:rFonts w:ascii="Noto Sans" w:hAnsi="Noto Sans"/>
                <w:b/>
                <w:bCs/>
                <w:sz w:val="20"/>
                <w:szCs w:val="20"/>
              </w:rPr>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Acciones que favorezcan la reducción de la huella ecológica del festival: baja huella de carbono, no utilización de materiales desechables, gestión sostenible de residuos, acciones para reducir el consumo de agua, mejora de la eficiencia energética, uso de energías renovables, certificación En Greener Festival, consumo de productos ecológicos y de Km 0, fomento del transporte público...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6AF3FF" w:val="clear"/>
          </w:tcPr>
          <w:p>
            <w:pPr>
              <w:pStyle w:val="Contingutdelataula"/>
              <w:jc w:val="center"/>
              <w:rPr>
                <w:rFonts w:ascii="Noto Sans" w:hAnsi="Noto Sans"/>
                <w:b/>
                <w:b/>
                <w:bCs/>
                <w:sz w:val="20"/>
                <w:szCs w:val="20"/>
              </w:rPr>
            </w:pPr>
            <w:r>
              <w:rPr>
                <w:rFonts w:ascii="Noto Sans" w:hAnsi="Noto Sans"/>
                <w:b/>
                <w:bCs/>
                <w:sz w:val="20"/>
                <w:szCs w:val="20"/>
              </w:rPr>
              <w:t>IGUALDAD DE GÉNERO</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i w:val="false"/>
                <w:i w:val="false"/>
                <w:strike w:val="false"/>
                <w:dstrike w:val="false"/>
                <w:outline w:val="false"/>
                <w:shadow w:val="false"/>
                <w:color w:val="auto"/>
                <w:spacing w:val="0"/>
                <w:kern w:val="2"/>
                <w:sz w:val="20"/>
                <w:szCs w:val="20"/>
                <w:u w:val="none"/>
                <w:em w:val="none"/>
              </w:rPr>
            </w:pPr>
            <w:r>
              <w:rPr>
                <w:rFonts w:ascii="Noto Sans" w:hAnsi="Noto Sans"/>
                <w:b/>
                <w:bCs/>
                <w:i w:val="false"/>
                <w:strike w:val="false"/>
                <w:dstrike w:val="false"/>
                <w:outline w:val="false"/>
                <w:shadow w:val="false"/>
                <w:color w:val="auto"/>
                <w:spacing w:val="0"/>
                <w:kern w:val="2"/>
                <w:sz w:val="20"/>
                <w:szCs w:val="20"/>
                <w:u w:val="none"/>
                <w:em w:val="none"/>
              </w:rPr>
              <w:t>La presencia de las mujeres es parte fundamental de la programación, en puestos de responsabilidad y tomas de decisiones superando el 50%.</w:t>
            </w:r>
          </w:p>
          <w:p>
            <w:pPr>
              <w:pStyle w:val="Normal"/>
              <w:jc w:val="left"/>
              <w:rPr>
                <w:rFonts w:ascii="Noto Sans" w:hAnsi="Noto Sans"/>
                <w:b/>
                <w:b/>
                <w:bCs/>
                <w:sz w:val="20"/>
                <w:szCs w:val="20"/>
              </w:rPr>
            </w:pPr>
            <w:r>
              <w:rPr>
                <w:rFonts w:ascii="Noto Sans" w:hAnsi="Noto Sans"/>
                <w:b/>
                <w:bCs/>
                <w:sz w:val="20"/>
                <w:szCs w:val="20"/>
              </w:rPr>
            </w:r>
          </w:p>
          <w:p>
            <w:pPr>
              <w:pStyle w:val="Normal"/>
              <w:jc w:val="right"/>
              <w:rPr>
                <w:rFonts w:ascii="Noto Sans" w:hAnsi="Noto Sans"/>
                <w:b/>
                <w:b/>
                <w:bCs/>
                <w:sz w:val="16"/>
                <w:szCs w:val="16"/>
              </w:rPr>
            </w:pPr>
            <w:r>
              <w:rPr>
                <w:rFonts w:ascii="Noto Sans" w:hAnsi="Noto Sans"/>
                <w:b/>
                <w:bCs/>
                <w:sz w:val="16"/>
                <w:szCs w:val="16"/>
              </w:rPr>
              <w:t>* Hay que especificar y acreditar si se cumple o no este porcentaje y en qué ámbitos del festival (indicar nombre y apellidos de las trabajadoras y artistas así como la actividad que desarrollan)</w:t>
            </w:r>
          </w:p>
          <w:p>
            <w:pPr>
              <w:pStyle w:val="Normal"/>
              <w:jc w:val="right"/>
              <w:rPr>
                <w:rFonts w:ascii="TimesNewRomanPSMT" w:hAnsi="TimesNewRomanPSMT"/>
                <w:b/>
                <w:b/>
                <w:bCs/>
                <w:sz w:val="18"/>
                <w:szCs w:val="20"/>
              </w:rPr>
            </w:pPr>
            <w:r>
              <w:rPr>
                <w:rFonts w:ascii="TimesNewRomanPSMT" w:hAnsi="TimesNewRomanPSMT"/>
                <w:b/>
                <w:bCs/>
                <w:sz w:val="18"/>
                <w:szCs w:val="20"/>
              </w:rPr>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Inclusión de aspectos y/o temáticas relacionadas con la perspectiva de género o la comunidad LGTBQI+</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50A5FF" w:val="clear"/>
          </w:tcPr>
          <w:p>
            <w:pPr>
              <w:pStyle w:val="Contingutdelataula"/>
              <w:jc w:val="center"/>
              <w:rPr>
                <w:rFonts w:ascii="Noto Sans" w:hAnsi="Noto Sans"/>
                <w:b/>
                <w:b/>
                <w:bCs/>
                <w:sz w:val="20"/>
                <w:szCs w:val="20"/>
              </w:rPr>
            </w:pPr>
            <w:r>
              <w:rPr>
                <w:rFonts w:ascii="Noto Sans" w:hAnsi="Noto Sans"/>
                <w:b/>
                <w:bCs/>
                <w:sz w:val="20"/>
                <w:szCs w:val="20"/>
              </w:rPr>
              <w:t>CATALÁN</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 xml:space="preserve"> </w:t>
            </w:r>
            <w:r>
              <w:rPr>
                <w:rFonts w:ascii="Noto Sans" w:hAnsi="Noto Sans"/>
                <w:b/>
                <w:bCs/>
                <w:i w:val="false"/>
                <w:strike w:val="false"/>
                <w:dstrike w:val="false"/>
                <w:outline w:val="false"/>
                <w:shadow w:val="false"/>
                <w:color w:val="auto"/>
                <w:spacing w:val="0"/>
                <w:kern w:val="2"/>
                <w:sz w:val="20"/>
                <w:szCs w:val="20"/>
                <w:u w:val="none"/>
                <w:em w:val="none"/>
              </w:rPr>
              <w:t>Proyectos que fomenten el uso del catalán y que utilicen la lengua catalana durante el desarrollo de las actividades.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Uso de la lengua catalana en todos los canales de difusión y comunicación del evento: notas de prensa, anuncios, redes sociales.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D4EA6B" w:val="clear"/>
          </w:tcPr>
          <w:p>
            <w:pPr>
              <w:pStyle w:val="Contingutdelataula"/>
              <w:jc w:val="center"/>
              <w:rPr>
                <w:rFonts w:ascii="Noto Sans" w:hAnsi="Noto Sans"/>
                <w:b/>
                <w:b/>
                <w:bCs/>
                <w:sz w:val="20"/>
                <w:szCs w:val="20"/>
              </w:rPr>
            </w:pPr>
            <w:r>
              <w:rPr>
                <w:rFonts w:ascii="Noto Sans" w:hAnsi="Noto Sans"/>
                <w:b/>
                <w:bCs/>
                <w:sz w:val="20"/>
                <w:szCs w:val="20"/>
              </w:rPr>
              <w:t>IMPACTO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Acciones dirigidas al fomento de la accesibilidad: adaptación de las actividades y/o espacios a personas con discapacidad o problemas de movilidad, política de precios,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Acciones que fomenten la diversidad/interculturalidad dentro del evento: inclusión de personas racializadas, personas en riesgo de exclusión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50938A" w:val="clear"/>
          </w:tcPr>
          <w:p>
            <w:pPr>
              <w:pStyle w:val="Contingutdelataula"/>
              <w:jc w:val="center"/>
              <w:rPr>
                <w:rFonts w:ascii="Noto Sans" w:hAnsi="Noto Sans"/>
                <w:b/>
                <w:b/>
                <w:bCs/>
                <w:sz w:val="20"/>
                <w:szCs w:val="20"/>
              </w:rPr>
            </w:pPr>
            <w:r>
              <w:rPr>
                <w:rFonts w:ascii="Noto Sans" w:hAnsi="Noto Sans"/>
                <w:b/>
                <w:bCs/>
                <w:sz w:val="20"/>
                <w:szCs w:val="20"/>
              </w:rPr>
              <w:t>CREACIÓN / FERIA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El evento incluye alguna obra beneficiaria de las convocatorias de ayudas del Instituto de Estudios Baleáricos para apoyar la creación o alguno de los artistas participantes en Fira B! 2023</w:t>
            </w:r>
          </w:p>
          <w:p>
            <w:pPr>
              <w:pStyle w:val="Normal"/>
              <w:rPr>
                <w:rFonts w:ascii="Noto Sans" w:hAnsi="Noto Sans"/>
                <w:b/>
                <w:b/>
                <w:bCs/>
                <w:sz w:val="20"/>
                <w:szCs w:val="20"/>
              </w:rPr>
            </w:pPr>
            <w:r>
              <w:rPr>
                <w:rFonts w:ascii="Noto Sans" w:hAnsi="Noto Sans"/>
                <w:b/>
                <w:bCs/>
                <w:sz w:val="20"/>
                <w:szCs w:val="20"/>
              </w:rPr>
            </w:r>
          </w:p>
          <w:p>
            <w:pPr>
              <w:pStyle w:val="Normal"/>
              <w:jc w:val="right"/>
              <w:rPr/>
            </w:pPr>
            <w:r>
              <w:rPr>
                <w:rFonts w:ascii="Noto Sans" w:hAnsi="Noto Sans"/>
                <w:b/>
                <w:bCs/>
                <w:sz w:val="16"/>
                <w:szCs w:val="16"/>
              </w:rPr>
              <w:t xml:space="preserve">*Puede consultar la web del IEB para conocer a los beneficiarios y </w:t>
            </w:r>
            <w:hyperlink r:id="rId2">
              <w:r>
                <w:rPr>
                  <w:rStyle w:val="EnlladInternet"/>
                  <w:rFonts w:ascii="Noto Sans" w:hAnsi="Noto Sans"/>
                  <w:b/>
                  <w:bCs/>
                  <w:sz w:val="16"/>
                  <w:szCs w:val="16"/>
                </w:rPr>
                <w:t>en la web de Fira B!</w:t>
              </w:r>
            </w:hyperlink>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1ED6CE" w:val="clear"/>
          </w:tcPr>
          <w:p>
            <w:pPr>
              <w:pStyle w:val="Contingutdelataula"/>
              <w:jc w:val="center"/>
              <w:rPr>
                <w:rFonts w:ascii="Noto Sans" w:hAnsi="Noto Sans"/>
                <w:b/>
                <w:b/>
                <w:bCs/>
                <w:sz w:val="20"/>
                <w:szCs w:val="20"/>
              </w:rPr>
            </w:pPr>
            <w:r>
              <w:rPr>
                <w:rFonts w:ascii="Noto Sans" w:hAnsi="Noto Sans"/>
                <w:b/>
                <w:bCs/>
                <w:sz w:val="20"/>
                <w:szCs w:val="20"/>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Acciones con origen, localización o destino en Formentera o realizadas por creadores, empresas, entidades o colectivos de ese territorio.</w:t>
            </w:r>
          </w:p>
          <w:p>
            <w:pPr>
              <w:pStyle w:val="Normal"/>
              <w:rPr>
                <w:rFonts w:ascii="Noto Sans" w:hAnsi="Noto Sans"/>
                <w:b/>
                <w:b/>
                <w:bCs/>
                <w:sz w:val="20"/>
                <w:szCs w:val="20"/>
              </w:rPr>
            </w:pPr>
            <w:r>
              <w:rPr>
                <w:rFonts w:ascii="Noto Sans" w:hAnsi="Noto Sans"/>
                <w:b/>
                <w:bCs/>
                <w:sz w:val="20"/>
                <w:szCs w:val="20"/>
              </w:rPr>
            </w:r>
          </w:p>
          <w:p>
            <w:pPr>
              <w:pStyle w:val="Normal"/>
              <w:rPr>
                <w:rFonts w:ascii="Noto Sans" w:hAnsi="Noto Sans"/>
                <w:b/>
                <w:b/>
                <w:bCs/>
                <w:sz w:val="20"/>
                <w:szCs w:val="20"/>
              </w:rPr>
            </w:pPr>
            <w:r>
              <w:rPr>
                <w:rFonts w:ascii="Noto Sans" w:hAnsi="Noto Sans"/>
                <w:b/>
                <w:bCs/>
                <w:sz w:val="20"/>
                <w:szCs w:val="20"/>
              </w:rPr>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Normal"/>
        <w:rPr/>
      </w:pPr>
      <w:r>
        <w:rPr/>
      </w:r>
    </w:p>
    <w:sectPr>
      <w:footnotePr>
        <w:numFmt w:val="decimal"/>
      </w:footnotePr>
      <w:type w:val="nextPage"/>
      <w:pgSz w:orient="landscape" w:w="16838" w:h="11906"/>
      <w:pgMar w:left="1134" w:right="1134" w:header="0" w:top="1134" w:footer="0" w:bottom="1134"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1"/>
    <w:family w:val="swiss"/>
    <w:pitch w:val="default"/>
  </w:font>
  <w:font w:name="Noto Sans">
    <w:charset w:val="01"/>
    <w:family w:val="swiss"/>
    <w:pitch w:val="default"/>
  </w:font>
  <w:font w:name="Liberation Sans">
    <w:altName w:val="Arial"/>
    <w:charset w:val="01"/>
    <w:family w:val="swiss"/>
    <w:pitch w:val="default"/>
  </w:font>
  <w:font w:name="TimesNewRomanPSMT">
    <w:charset w:val="01"/>
    <w:family w:val="swiss"/>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eu"/>
        <w:rPr/>
      </w:pPr>
      <w:r>
        <w:rPr>
          <w:rStyle w:val="Carctersdenotaalpeu"/>
        </w:rPr>
        <w:footnoteRef/>
      </w:r>
      <w:r>
        <w:rPr/>
        <w:tab/>
        <w:t>Esta memoria servirá para que la comisión evaluadora puntúe el proyecto. Debe detallar toda la información necesaria. Todo lo que no quede especificado y detallado en esta memoria, no valorará. Puede añadir tantas páginas como sea necesario, pero intente responder a todos los apartados en el orden correspondiente.</w:t>
      </w:r>
    </w:p>
  </w:footnote>
</w:footnotes>
</file>

<file path=word/settings.xml><?xml version="1.0" encoding="utf-8"?>
<w:settings xmlns:w="http://schemas.openxmlformats.org/wordprocessingml/2006/main">
  <w:zoom w:percent="100"/>
  <w:defaultTabStop w:val="936"/>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Cs w:val="24"/>
        <w:lang w:val="e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SimSun" w:cs="Arial"/>
      <w:color w:val="auto"/>
      <w:kern w:val="2"/>
      <w:sz w:val="24"/>
      <w:szCs w:val="24"/>
      <w:lang w:val="es" w:eastAsia="zh-CN" w:bidi="hi-IN"/>
    </w:rPr>
  </w:style>
  <w:style w:type="paragraph" w:styleId="Encapalament3">
    <w:name w:val="Heading 3"/>
    <w:basedOn w:val="Encapalament"/>
    <w:next w:val="Cosdeltext"/>
    <w:qFormat/>
    <w:pPr>
      <w:spacing w:before="140" w:after="120"/>
      <w:outlineLvl w:val="2"/>
    </w:pPr>
    <w:rPr>
      <w:rFonts w:ascii="Liberation Serif" w:hAnsi="Liberation Serif" w:eastAsia="NSimSun" w:cs="Arial"/>
      <w:b/>
      <w:bCs/>
      <w:sz w:val="28"/>
      <w:szCs w:val="28"/>
    </w:rPr>
  </w:style>
  <w:style w:type="character" w:styleId="Mfasifort">
    <w:name w:val="Èmfasi fort"/>
    <w:qFormat/>
    <w:rPr>
      <w:b/>
      <w:bCs/>
    </w:rPr>
  </w:style>
  <w:style w:type="character" w:styleId="Carctersdenotaalpeu">
    <w:name w:val="Caràcters de nota al peu"/>
    <w:qFormat/>
    <w:rPr/>
  </w:style>
  <w:style w:type="character" w:styleId="Ncoradenotaalpeu">
    <w:name w:val="Àncora de nota al peu"/>
    <w:rPr>
      <w:vertAlign w:val="superscript"/>
    </w:rPr>
  </w:style>
  <w:style w:type="character" w:styleId="EnlladInternet">
    <w:name w:val="Enllaç d'Internet"/>
    <w:rPr>
      <w:color w:val="000080"/>
      <w:u w:val="single"/>
      <w:lang w:val="es" w:eastAsia="zxx" w:bidi="zxx"/>
    </w:rPr>
  </w:style>
  <w:style w:type="character" w:styleId="Ncoradenotafinal">
    <w:name w:val="Àncora de nota final"/>
    <w:rPr>
      <w:vertAlign w:val="superscript"/>
    </w:rPr>
  </w:style>
  <w:style w:type="character" w:styleId="Carctersdenotafinal">
    <w:name w:val="Caràcters de nota final"/>
    <w:qFormat/>
    <w:rPr/>
  </w:style>
  <w:style w:type="character" w:styleId="ListLabel1">
    <w:name w:val="ListLabel 1"/>
    <w:qFormat/>
    <w:rPr>
      <w:rFonts w:ascii="Noto Sans" w:hAnsi="Noto Sans"/>
      <w:b/>
      <w:bCs/>
      <w:sz w:val="16"/>
      <w:szCs w:val="16"/>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eu">
    <w:name w:val="Footnote Text"/>
    <w:basedOn w:val="Normal"/>
    <w:pPr>
      <w:suppressLineNumbers/>
      <w:ind w:left="339" w:right="0" w:hanging="339"/>
    </w:pPr>
    <w:rPr>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firab.org/en/programacion/2023/" TargetMode="External"/><Relationship Id="rId3" Type="http://schemas.openxmlformats.org/officeDocument/2006/relationships/footnotes" Target="footnotes.xml"/><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415</TotalTime>
  <Application>LibreOffice/6.1.5.2$Windows_x86 LibreOffice_project/90f8dcf33c87b3705e78202e3df5142b201bd805</Application>
  <Pages>5</Pages>
  <Words>616</Words>
  <Characters>3557</Characters>
  <CharactersWithSpaces>4126</CharactersWithSpaces>
  <Paragraphs>48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dcterms:modified xsi:type="dcterms:W3CDTF">2024-02-27T08:23:13Z</dcterms:modified>
  <cp:revision>18</cp:revision>
  <dc:subject/>
  <dc:title/>
</cp:coreProperties>
</file>