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555115" cy="1376045"/>
            <wp:effectExtent l="0" t="0" r="0" b="0"/>
            <wp:wrapSquare wrapText="bothSides"/>
            <wp:docPr id="1" name="Imat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t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376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jc w:val="center"/>
        <w:rPr/>
      </w:pPr>
      <w:r>
        <w:rPr>
          <w:rFonts w:ascii="Noto Sans" w:hAnsi="Noto Sans"/>
          <w:b/>
          <w:bCs/>
        </w:rPr>
        <w:t xml:space="preserve">SOL·LICITUD PRÒRROGA D'EXPEDIENT DE REGULACIÓ TEMPORAL D'OCUPACIÓ </w:t>
      </w:r>
    </w:p>
    <w:p>
      <w:pPr>
        <w:pStyle w:val="Normal"/>
        <w:jc w:val="center"/>
        <w:rPr/>
      </w:pPr>
      <w:r>
        <w:rPr>
          <w:color w:val="000000"/>
          <w:sz w:val="20"/>
          <w:szCs w:val="20"/>
        </w:rPr>
        <w:t xml:space="preserve">(Article 1 del Reial </w:t>
      </w:r>
      <w:r>
        <w:rPr>
          <w:color w:val="000000"/>
          <w:sz w:val="20"/>
          <w:szCs w:val="20"/>
        </w:rPr>
        <w:t>d</w:t>
      </w:r>
      <w:r>
        <w:rPr>
          <w:color w:val="000000"/>
          <w:sz w:val="20"/>
          <w:szCs w:val="20"/>
        </w:rPr>
        <w:t>ecret - llei 18/2021, de 28 de setembre, de mesures urgents per a la protecció de l'ocupació, la recuperació econòmica i la millora del mercat de treball)</w:t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W w:w="9495" w:type="dxa"/>
        <w:jc w:val="left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495"/>
      </w:tblGrid>
      <w:tr>
        <w:trPr>
          <w:trHeight w:val="902" w:hRule="atLeast"/>
        </w:trPr>
        <w:tc>
          <w:tcPr>
            <w:tcW w:w="9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Noto Sans" w:hAnsi="Noto Sans"/>
                <w:b/>
                <w:b/>
                <w:bCs/>
              </w:rPr>
            </w:pPr>
            <w:r>
              <w:rPr>
                <w:rFonts w:ascii="Noto Sans" w:hAnsi="Noto Sans"/>
                <w:b/>
                <w:bCs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Noto Sans" w:hAnsi="Noto Sans"/>
                <w:b/>
                <w:bCs/>
              </w:rPr>
              <w:t>Indiqui les dades relatives a l'expedient del qual se sol·licita la pròrroga:</w:t>
            </w:r>
          </w:p>
          <w:p>
            <w:pPr>
              <w:pStyle w:val="Normal"/>
              <w:jc w:val="center"/>
              <w:rPr>
                <w:rFonts w:ascii="Noto Sans" w:hAnsi="Noto Sans"/>
                <w:b/>
                <w:b/>
                <w:bCs/>
                <w:sz w:val="22"/>
                <w:szCs w:val="22"/>
              </w:rPr>
            </w:pPr>
            <w:r>
              <w:rPr>
                <w:rFonts w:ascii="Noto Sans" w:hAnsi="Noto Sans"/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Noto Sans" w:hAnsi="Noto Sans"/>
          <w:b/>
          <w:b/>
          <w:bCs/>
        </w:rPr>
      </w:pPr>
      <w:r>
        <w:rPr>
          <w:rFonts w:ascii="Noto Sans" w:hAnsi="Noto Sans"/>
          <w:b/>
          <w:bCs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>
          <w:rFonts w:ascii="Noto Sans" w:hAnsi="Noto Sans"/>
          <w:b/>
          <w:b/>
          <w:bCs/>
          <w:sz w:val="22"/>
          <w:szCs w:val="22"/>
        </w:rPr>
      </w:pPr>
      <w:r>
        <w:rPr>
          <w:rFonts w:ascii="Noto Sans" w:hAnsi="Noto Sans"/>
          <w:b/>
          <w:bCs/>
          <w:sz w:val="22"/>
          <w:szCs w:val="22"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/>
      </w:pPr>
      <w:r>
        <w:rPr>
          <w:rFonts w:ascii="Noto Sans" w:hAnsi="Noto Sans"/>
          <w:b/>
          <w:bCs/>
          <w:color w:val="000000"/>
          <w:sz w:val="22"/>
          <w:szCs w:val="22"/>
        </w:rPr>
        <w:t>TIPUS ERTO:</w:t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>
          <w:rFonts w:ascii="Noto Sans" w:hAnsi="Noto Sans"/>
          <w:b/>
          <w:b/>
          <w:bCs/>
          <w:color w:val="000000"/>
          <w:sz w:val="22"/>
          <w:szCs w:val="22"/>
        </w:rPr>
      </w:pPr>
      <w:r>
        <w:rPr>
          <w:rFonts w:ascii="Noto Sans" w:hAnsi="Noto Sans"/>
          <w:b/>
          <w:bCs/>
          <w:color w:val="000000"/>
          <w:sz w:val="22"/>
          <w:szCs w:val="22"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/>
      </w:pPr>
      <w:r>
        <w:rPr>
          <w:rFonts w:ascii="Noto Sans" w:hAnsi="Noto Sans"/>
          <w:b/>
          <w:bCs/>
          <w:color w:val="000000"/>
          <w:sz w:val="22"/>
          <w:szCs w:val="22"/>
        </w:rPr>
        <w:t>Núm. EXPEDIENT ANTERIOR:</w:t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>
          <w:rFonts w:ascii="Noto Sans" w:hAnsi="Noto Sans"/>
          <w:b/>
          <w:b/>
          <w:bCs/>
          <w:color w:val="000000"/>
          <w:sz w:val="22"/>
          <w:szCs w:val="22"/>
        </w:rPr>
      </w:pPr>
      <w:r>
        <w:rPr>
          <w:rFonts w:ascii="Noto Sans" w:hAnsi="Noto Sans"/>
          <w:b/>
          <w:bCs/>
          <w:color w:val="000000"/>
          <w:sz w:val="22"/>
          <w:szCs w:val="22"/>
        </w:rPr>
      </w:r>
    </w:p>
    <w:p>
      <w:pPr>
        <w:pStyle w:val="Normal"/>
        <w:widowControl/>
        <w:suppressAutoHyphens w:val="true"/>
        <w:bidi w:val="0"/>
        <w:ind w:left="0" w:right="0" w:firstLine="113"/>
        <w:jc w:val="both"/>
        <w:textAlignment w:val="baseline"/>
        <w:rPr/>
      </w:pPr>
      <w:r>
        <w:rPr>
          <w:rFonts w:ascii="Noto Sans" w:hAnsi="Noto Sans"/>
          <w:b/>
          <w:bCs/>
          <w:color w:val="000000"/>
          <w:sz w:val="22"/>
          <w:szCs w:val="22"/>
        </w:rPr>
        <w:t>DATA RESOLUCIÓ ERTO:</w:t>
      </w:r>
    </w:p>
    <w:p>
      <w:pPr>
        <w:pStyle w:val="Normal"/>
        <w:ind w:left="2160" w:hang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left="2160" w:hang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left="2160" w:hang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/>
      </w:r>
    </w:p>
    <w:tbl>
      <w:tblPr>
        <w:tblW w:w="10425" w:type="dxa"/>
        <w:jc w:val="left"/>
        <w:tblInd w:w="-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040"/>
        <w:gridCol w:w="5384"/>
      </w:tblGrid>
      <w:tr>
        <w:trPr>
          <w:trHeight w:val="567" w:hRule="exact"/>
        </w:trPr>
        <w:tc>
          <w:tcPr>
            <w:tcW w:w="10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B3B3B3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Noto Sans" w:hAnsi="Noto Sans"/>
                <w:b/>
                <w:bCs/>
              </w:rPr>
              <w:t>Dades de l'empresa</w:t>
            </w:r>
          </w:p>
        </w:tc>
      </w:tr>
      <w:tr>
        <w:trPr>
          <w:trHeight w:val="731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Raó social </w:t>
              <w:br/>
              <w:t xml:space="preserve">(empresa que sol·licita pròrroga ERTO)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989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Nom i cognoms de la persona que actua com a representant de l'interessat en aquest procediment (gestoria, assessoria, etc)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590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DNI de la persona que actua com a representant de l'interessat en aquest procediment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134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>Direcció de l'empresa</w:t>
            </w:r>
          </w:p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 xml:space="preserve">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752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0"/>
                <w:szCs w:val="20"/>
                <w:lang w:val="ca-ES"/>
              </w:rPr>
            </w:pPr>
            <w:r>
              <w:rPr>
                <w:rFonts w:ascii="Noto Sans" w:hAnsi="Noto Sans"/>
                <w:b/>
                <w:color w:val="000000"/>
                <w:sz w:val="20"/>
                <w:szCs w:val="20"/>
                <w:lang w:val="ca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  <w:lang w:val="ca-ES"/>
              </w:rPr>
              <w:t>Telèfon mòbil de contacte de l'empresa i del representant (gestoria, assessoria, etc)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  <w:lang w:val="ca-ES"/>
              </w:rPr>
            </w:r>
          </w:p>
        </w:tc>
      </w:tr>
      <w:tr>
        <w:trPr>
          <w:trHeight w:val="1597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bCs/>
                <w:color w:val="000000"/>
                <w:sz w:val="22"/>
                <w:szCs w:val="22"/>
              </w:rPr>
              <w:t>Adreça electrònica a l'efecte de rebre notificacions</w:t>
            </w:r>
          </w:p>
          <w:p>
            <w:pPr>
              <w:pStyle w:val="Normal"/>
              <w:rPr>
                <w:rFonts w:ascii="Noto Sans" w:hAnsi="Noto Sans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  <w:tr>
        <w:trPr>
          <w:trHeight w:val="1134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>Núm. de cotització de la Seguretat Social (CCC)</w:t>
            </w:r>
          </w:p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  <w:tr>
        <w:trPr>
          <w:trHeight w:val="1134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 xml:space="preserve">Núm. d' identificació fiscal (NIF/CIF)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  <w:tr>
        <w:trPr>
          <w:trHeight w:val="957" w:hRule="exact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Noto Sans" w:hAnsi="Noto Sans"/>
                <w:b/>
                <w:b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 xml:space="preserve">Codi d'activitat  </w:t>
            </w:r>
          </w:p>
          <w:p>
            <w:pPr>
              <w:pStyle w:val="Normal"/>
              <w:rPr/>
            </w:pPr>
            <w:r>
              <w:rPr>
                <w:rFonts w:ascii="Noto Sans" w:hAnsi="Noto Sans"/>
                <w:b/>
                <w:color w:val="000000"/>
                <w:sz w:val="22"/>
                <w:szCs w:val="22"/>
              </w:rPr>
              <w:t>(CNAE 2009)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/>
                <w:color w:val="000000"/>
                <w:sz w:val="22"/>
                <w:szCs w:val="22"/>
              </w:rPr>
            </w:pPr>
            <w:r>
              <w:rPr>
                <w:rFonts w:ascii="Noto Sans" w:hAnsi="Noto Sans"/>
                <w:color w:val="000000"/>
                <w:sz w:val="22"/>
                <w:szCs w:val="22"/>
              </w:rPr>
            </w:r>
          </w:p>
        </w:tc>
      </w:tr>
    </w:tbl>
    <w:p>
      <w:pPr>
        <w:pStyle w:val="LONormal"/>
        <w:rPr>
          <w:vanish/>
          <w:lang w:val="ca-ES"/>
        </w:rPr>
      </w:pPr>
      <w:r>
        <w:rPr>
          <w:vanish/>
          <w:lang w:val="ca-ES"/>
        </w:rPr>
      </w:r>
    </w:p>
    <w:p>
      <w:pPr>
        <w:pStyle w:val="Standard"/>
        <w:ind w:left="720" w:hanging="0"/>
        <w:jc w:val="both"/>
        <w:rPr>
          <w:rFonts w:ascii="Noto Sans" w:hAnsi="Noto Sans"/>
          <w:sz w:val="22"/>
          <w:szCs w:val="22"/>
          <w:lang w:val="ca-ES"/>
        </w:rPr>
      </w:pPr>
      <w:r>
        <w:rPr>
          <w:rFonts w:ascii="Noto Sans" w:hAnsi="Noto Sans"/>
          <w:sz w:val="22"/>
          <w:szCs w:val="22"/>
          <w:lang w:val="ca-ES"/>
        </w:rPr>
      </w:r>
    </w:p>
    <w:p>
      <w:pPr>
        <w:pStyle w:val="Standard"/>
        <w:ind w:left="720" w:hanging="0"/>
        <w:jc w:val="both"/>
        <w:rPr>
          <w:rFonts w:ascii="Noto Sans" w:hAnsi="Noto Sans"/>
          <w:sz w:val="22"/>
          <w:szCs w:val="22"/>
          <w:lang w:val="ca-ES"/>
        </w:rPr>
      </w:pPr>
      <w:r>
        <w:rPr>
          <w:rFonts w:ascii="Noto Sans" w:hAnsi="Noto Sans"/>
          <w:sz w:val="22"/>
          <w:szCs w:val="22"/>
          <w:lang w:val="ca-ES"/>
        </w:rPr>
      </w:r>
    </w:p>
    <w:p>
      <w:pPr>
        <w:pStyle w:val="Standard"/>
        <w:ind w:left="720" w:hanging="0"/>
        <w:jc w:val="both"/>
        <w:rPr>
          <w:rFonts w:ascii="Noto Sans" w:hAnsi="Noto Sans"/>
          <w:sz w:val="22"/>
          <w:szCs w:val="22"/>
          <w:lang w:val="ca-ES"/>
        </w:rPr>
      </w:pPr>
      <w:r>
        <w:rPr>
          <w:rFonts w:ascii="Noto Sans" w:hAnsi="Noto Sans"/>
          <w:sz w:val="22"/>
          <w:szCs w:val="22"/>
          <w:lang w:val="ca-ES"/>
        </w:rPr>
      </w:r>
    </w:p>
    <w:p>
      <w:pPr>
        <w:pStyle w:val="Standard"/>
        <w:numPr>
          <w:ilvl w:val="0"/>
          <w:numId w:val="0"/>
        </w:numPr>
        <w:ind w:left="720" w:hanging="0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/>
      </w:pPr>
      <w:r>
        <w:rPr>
          <w:rFonts w:cs="Noto Sans" w:ascii="Noto Sans" w:hAnsi="Noto Sans"/>
          <w:b/>
          <w:bCs/>
          <w:kern w:val="0"/>
          <w:sz w:val="22"/>
          <w:szCs w:val="22"/>
          <w:lang w:val="ca-ES" w:bidi="ar-SA"/>
        </w:rPr>
        <w:t>Amb la presentació d'aquesta sol·licitud s'acompanya la següent documentació:</w:t>
      </w:r>
    </w:p>
    <w:p>
      <w:pPr>
        <w:pStyle w:val="Normal"/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 xml:space="preserve"> </w:t>
      </w:r>
    </w:p>
    <w:p>
      <w:pPr>
        <w:pStyle w:val="Normal"/>
        <w:jc w:val="both"/>
        <w:rPr>
          <w:rFonts w:ascii="Noto Sans" w:hAnsi="Noto Sans" w:cs="Noto Sans"/>
          <w:b w:val="false"/>
          <w:b w:val="false"/>
          <w:bCs w:val="false"/>
          <w:kern w:val="0"/>
          <w:sz w:val="22"/>
          <w:szCs w:val="22"/>
          <w:lang w:val="ca-ES" w:bidi="ar-SA"/>
        </w:rPr>
      </w:pPr>
      <w:r>
        <w:rPr/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>Relació de les hores o dies de treball suspesos o reduïts durant els mesos de juliol, agost i setembre de 2021 de cadascuna de les persones treballadores degudament identificades en relació amb cadascun dels centres de treball.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>Aquesta relació haurà de presentar-se en format excel, ordenada alfabèticament.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>El model es troba disponible en la Seu Electrònica de la Direcció General de Treball i Salut Laboral del Govern de les Illes Balears.</w:t>
      </w:r>
    </w:p>
    <w:p>
      <w:pPr>
        <w:pStyle w:val="Normal"/>
        <w:jc w:val="both"/>
        <w:rPr>
          <w:rFonts w:ascii="Noto Sans" w:hAnsi="Noto Sans" w:cs="Noto Sans"/>
          <w:b w:val="false"/>
          <w:b w:val="false"/>
          <w:bCs w:val="false"/>
          <w:kern w:val="0"/>
          <w:sz w:val="22"/>
          <w:szCs w:val="22"/>
          <w:lang w:val="ca-ES" w:bidi="ar-SA"/>
        </w:rPr>
      </w:pPr>
      <w:r>
        <w:rPr/>
      </w:r>
    </w:p>
    <w:p>
      <w:pPr>
        <w:pStyle w:val="Normal"/>
        <w:jc w:val="both"/>
        <w:rPr/>
      </w:pPr>
      <w:r>
        <w:rPr>
          <w:rFonts w:cs="Noto Sans" w:ascii="Noto Sans" w:hAnsi="Noto Sans"/>
          <w:b w:val="false"/>
          <w:bCs w:val="false"/>
          <w:kern w:val="0"/>
          <w:sz w:val="22"/>
          <w:szCs w:val="22"/>
          <w:lang w:val="ca-ES" w:bidi="ar-SA"/>
        </w:rPr>
        <w:tab/>
        <w:t xml:space="preserve">* En el cas d'expedients de regulació temporal d'ocupació per causes econòmiques, </w:t>
        <w:tab/>
        <w:t xml:space="preserve">tècniques, organitzatives o de producció, s'adjuntarà, a més, informe de la </w:t>
        <w:tab/>
        <w:t xml:space="preserve">representació de les persones treballadores amb la qual es va negociar aquell. </w:t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kern w:val="0"/>
          <w:sz w:val="22"/>
          <w:szCs w:val="22"/>
          <w:lang w:val="ca-ES"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val="ca-ES" w:bidi="ar-SA"/>
        </w:rPr>
      </w:r>
    </w:p>
    <w:p>
      <w:pPr>
        <w:pStyle w:val="Normal"/>
        <w:jc w:val="both"/>
        <w:rPr>
          <w:rFonts w:ascii="Noto Sans" w:hAnsi="Noto Sans" w:cs="Noto Sans"/>
          <w:b/>
          <w:b/>
          <w:bCs/>
          <w:kern w:val="0"/>
          <w:sz w:val="22"/>
          <w:szCs w:val="22"/>
          <w:lang w:val="ca-ES" w:bidi="ar-SA"/>
        </w:rPr>
      </w:pPr>
      <w:r>
        <w:rPr/>
      </w:r>
    </w:p>
    <w:p>
      <w:pPr>
        <w:pStyle w:val="Normal"/>
        <w:ind w:left="720" w:hanging="0"/>
        <w:jc w:val="both"/>
        <w:rPr>
          <w:rFonts w:ascii="Noto Sans" w:hAnsi="Noto Sans" w:cs="Noto Sans"/>
          <w:b/>
          <w:b/>
          <w:kern w:val="0"/>
          <w:sz w:val="22"/>
          <w:szCs w:val="22"/>
          <w:lang w:bidi="ar-SA"/>
        </w:rPr>
      </w:pPr>
      <w:r>
        <w:rPr>
          <w:rFonts w:cs="Noto Sans" w:ascii="Noto Sans" w:hAnsi="Noto Sans"/>
          <w:b/>
          <w:kern w:val="0"/>
          <w:sz w:val="22"/>
          <w:szCs w:val="22"/>
          <w:lang w:bidi="ar-SA"/>
        </w:rPr>
      </w:r>
    </w:p>
    <w:p>
      <w:pPr>
        <w:pStyle w:val="Normal"/>
        <w:ind w:left="720" w:hanging="0"/>
        <w:rPr>
          <w:rFonts w:ascii="Arial" w:hAnsi="Arial" w:cs="Arial"/>
          <w:sz w:val="22"/>
          <w:szCs w:val="22"/>
          <w:lang w:val="ca-ES"/>
        </w:rPr>
      </w:pPr>
      <w:r>
        <w:rPr>
          <w:rFonts w:cs="Arial" w:ascii="Arial" w:hAnsi="Arial"/>
          <w:sz w:val="22"/>
          <w:szCs w:val="22"/>
          <w:lang w:val="ca-ES"/>
        </w:rPr>
      </w:r>
    </w:p>
    <w:p>
      <w:pPr>
        <w:pStyle w:val="Normal"/>
        <w:rPr/>
      </w:pPr>
      <w:r>
        <w:rPr>
          <w:rFonts w:ascii="Noto Sans" w:hAnsi="Noto Sans"/>
          <w:color w:val="B3B3B3"/>
          <w:sz w:val="22"/>
          <w:szCs w:val="22"/>
          <w:lang w:val="ca-ES"/>
        </w:rPr>
        <w:t>Lloc, data i signatura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Noto San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es-E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251c"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CharLFO1LVL1" w:customStyle="1">
    <w:name w:val="WW_CharLFO1LVL1"/>
    <w:qFormat/>
    <w:rsid w:val="0088251c"/>
    <w:rPr>
      <w:rFonts w:ascii="Symbol" w:hAnsi="Symbol"/>
    </w:rPr>
  </w:style>
  <w:style w:type="character" w:styleId="WWCharLFO1LVL2" w:customStyle="1">
    <w:name w:val="WW_CharLFO1LVL2"/>
    <w:qFormat/>
    <w:rsid w:val="0088251c"/>
    <w:rPr>
      <w:rFonts w:ascii="Courier New" w:hAnsi="Courier New" w:cs="Courier New"/>
    </w:rPr>
  </w:style>
  <w:style w:type="character" w:styleId="WWCharLFO1LVL3" w:customStyle="1">
    <w:name w:val="WW_CharLFO1LVL3"/>
    <w:qFormat/>
    <w:rsid w:val="0088251c"/>
    <w:rPr>
      <w:rFonts w:ascii="Wingdings" w:hAnsi="Wingdings"/>
    </w:rPr>
  </w:style>
  <w:style w:type="character" w:styleId="WWCharLFO1LVL4" w:customStyle="1">
    <w:name w:val="WW_CharLFO1LVL4"/>
    <w:qFormat/>
    <w:rsid w:val="0088251c"/>
    <w:rPr>
      <w:rFonts w:ascii="Symbol" w:hAnsi="Symbol"/>
    </w:rPr>
  </w:style>
  <w:style w:type="character" w:styleId="WWCharLFO1LVL5" w:customStyle="1">
    <w:name w:val="WW_CharLFO1LVL5"/>
    <w:qFormat/>
    <w:rsid w:val="0088251c"/>
    <w:rPr>
      <w:rFonts w:ascii="Courier New" w:hAnsi="Courier New" w:cs="Courier New"/>
    </w:rPr>
  </w:style>
  <w:style w:type="character" w:styleId="WWCharLFO1LVL6" w:customStyle="1">
    <w:name w:val="WW_CharLFO1LVL6"/>
    <w:qFormat/>
    <w:rsid w:val="0088251c"/>
    <w:rPr>
      <w:rFonts w:ascii="Wingdings" w:hAnsi="Wingdings"/>
    </w:rPr>
  </w:style>
  <w:style w:type="character" w:styleId="WWCharLFO1LVL7" w:customStyle="1">
    <w:name w:val="WW_CharLFO1LVL7"/>
    <w:qFormat/>
    <w:rsid w:val="0088251c"/>
    <w:rPr>
      <w:rFonts w:ascii="Symbol" w:hAnsi="Symbol"/>
    </w:rPr>
  </w:style>
  <w:style w:type="character" w:styleId="WWCharLFO1LVL8" w:customStyle="1">
    <w:name w:val="WW_CharLFO1LVL8"/>
    <w:qFormat/>
    <w:rsid w:val="0088251c"/>
    <w:rPr>
      <w:rFonts w:ascii="Courier New" w:hAnsi="Courier New" w:cs="Courier New"/>
    </w:rPr>
  </w:style>
  <w:style w:type="character" w:styleId="WWCharLFO1LVL9" w:customStyle="1">
    <w:name w:val="WW_CharLFO1LVL9"/>
    <w:qFormat/>
    <w:rsid w:val="0088251c"/>
    <w:rPr>
      <w:rFonts w:ascii="Wingdings" w:hAnsi="Wingdings"/>
    </w:rPr>
  </w:style>
  <w:style w:type="character" w:styleId="HTMLconformatoprevioCar" w:customStyle="1">
    <w:name w:val="HTML con formato previo Car"/>
    <w:basedOn w:val="DefaultParagraphFont"/>
    <w:link w:val="HTMLconformatoprevio"/>
    <w:uiPriority w:val="99"/>
    <w:semiHidden/>
    <w:qFormat/>
    <w:rsid w:val="00293f19"/>
    <w:rPr>
      <w:rFonts w:ascii="Courier New" w:hAnsi="Courier New" w:eastAsia="Times New Roman" w:cs="Courier New"/>
      <w:kern w:val="0"/>
      <w:sz w:val="20"/>
      <w:szCs w:val="20"/>
      <w:lang w:eastAsia="es-ES" w:bidi="ar-SA"/>
    </w:rPr>
  </w:style>
  <w:style w:type="character" w:styleId="ListLabel1">
    <w:name w:val="ListLabel 1"/>
    <w:qFormat/>
    <w:rPr>
      <w:rFonts w:cs="Symbol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ascii="Noto Sans" w:hAnsi="Noto Sans" w:eastAsia="SimSun" w:cs="Noto Sans"/>
      <w:sz w:val="22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OpenSymbol"/>
      <w:b/>
      <w:sz w:val="24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eastAsia="SimSun" w:cs="Noto Sans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ascii="Noto Sans" w:hAnsi="Noto Sans" w:cs="OpenSymbol"/>
      <w:sz w:val="22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ascii="Noto Sans" w:hAnsi="Noto Sans" w:cs="OpenSymbol"/>
      <w:b/>
      <w:sz w:val="22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ascii="Noto Sans" w:hAnsi="Noto Sans" w:cs="Noto Sans"/>
      <w:sz w:val="22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ascii="Noto Sans" w:hAnsi="Noto Sans" w:cs="OpenSymbol"/>
      <w:sz w:val="22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ascii="Noto Sans" w:hAnsi="Noto Sans" w:cs="OpenSymbol"/>
      <w:b/>
      <w:sz w:val="22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ascii="Noto Sans" w:hAnsi="Noto Sans" w:cs="Symbol"/>
      <w:b/>
      <w:sz w:val="22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Wingdings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cs="Symbol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Wingdings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ListLabel105">
    <w:name w:val="ListLabel 105"/>
    <w:qFormat/>
    <w:rPr>
      <w:rFonts w:cs="Noto Sans"/>
      <w:sz w:val="22"/>
    </w:rPr>
  </w:style>
  <w:style w:type="character" w:styleId="ListLabel106">
    <w:name w:val="ListLabel 106"/>
    <w:qFormat/>
    <w:rPr>
      <w:rFonts w:cs="Courier New"/>
    </w:rPr>
  </w:style>
  <w:style w:type="character" w:styleId="ListLabel107">
    <w:name w:val="ListLabel 107"/>
    <w:qFormat/>
    <w:rPr>
      <w:rFonts w:cs="Wingdings"/>
    </w:rPr>
  </w:style>
  <w:style w:type="character" w:styleId="ListLabel108">
    <w:name w:val="ListLabel 108"/>
    <w:qFormat/>
    <w:rPr>
      <w:rFonts w:cs="Symbol"/>
    </w:rPr>
  </w:style>
  <w:style w:type="character" w:styleId="ListLabel109">
    <w:name w:val="ListLabel 109"/>
    <w:qFormat/>
    <w:rPr>
      <w:rFonts w:cs="Courier New"/>
    </w:rPr>
  </w:style>
  <w:style w:type="character" w:styleId="ListLabel110">
    <w:name w:val="ListLabel 110"/>
    <w:qFormat/>
    <w:rPr>
      <w:rFonts w:cs="Wingdings"/>
    </w:rPr>
  </w:style>
  <w:style w:type="character" w:styleId="ListLabel111">
    <w:name w:val="ListLabel 111"/>
    <w:qFormat/>
    <w:rPr>
      <w:rFonts w:cs="Symbol"/>
    </w:rPr>
  </w:style>
  <w:style w:type="character" w:styleId="ListLabel112">
    <w:name w:val="ListLabel 112"/>
    <w:qFormat/>
    <w:rPr>
      <w:rFonts w:cs="Courier New"/>
    </w:rPr>
  </w:style>
  <w:style w:type="character" w:styleId="ListLabel113">
    <w:name w:val="ListLabel 113"/>
    <w:qFormat/>
    <w:rPr>
      <w:rFonts w:cs="Wingdings"/>
    </w:rPr>
  </w:style>
  <w:style w:type="character" w:styleId="ListLabel114">
    <w:name w:val="ListLabel 114"/>
    <w:qFormat/>
    <w:rPr>
      <w:rFonts w:ascii="Noto Sans" w:hAnsi="Noto Sans" w:cs="OpenSymbol"/>
      <w:sz w:val="22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ascii="Noto Sans" w:hAnsi="Noto Sans" w:cs="OpenSymbol"/>
      <w:b/>
      <w:sz w:val="22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rFonts w:cs="OpenSymbol"/>
    </w:rPr>
  </w:style>
  <w:style w:type="character" w:styleId="ListLabel131">
    <w:name w:val="ListLabel 131"/>
    <w:qFormat/>
    <w:rPr>
      <w:rFonts w:cs="OpenSymbol"/>
    </w:rPr>
  </w:style>
  <w:style w:type="character" w:styleId="ListLabel132">
    <w:name w:val="ListLabel 132"/>
    <w:qFormat/>
    <w:rPr>
      <w:rFonts w:cs="Symbol"/>
      <w:b/>
      <w:sz w:val="22"/>
    </w:rPr>
  </w:style>
  <w:style w:type="character" w:styleId="ListLabel133">
    <w:name w:val="ListLabel 133"/>
    <w:qFormat/>
    <w:rPr>
      <w:rFonts w:cs="Courier New"/>
    </w:rPr>
  </w:style>
  <w:style w:type="character" w:styleId="ListLabel134">
    <w:name w:val="ListLabel 134"/>
    <w:qFormat/>
    <w:rPr>
      <w:rFonts w:cs="Wingdings"/>
    </w:rPr>
  </w:style>
  <w:style w:type="character" w:styleId="ListLabel135">
    <w:name w:val="ListLabel 135"/>
    <w:qFormat/>
    <w:rPr>
      <w:rFonts w:cs="Symbol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Wingdings"/>
    </w:rPr>
  </w:style>
  <w:style w:type="character" w:styleId="ListLabel138">
    <w:name w:val="ListLabel 138"/>
    <w:qFormat/>
    <w:rPr>
      <w:rFonts w:cs="Symbol"/>
    </w:rPr>
  </w:style>
  <w:style w:type="character" w:styleId="ListLabel139">
    <w:name w:val="ListLabel 139"/>
    <w:qFormat/>
    <w:rPr>
      <w:rFonts w:cs="Courier New"/>
    </w:rPr>
  </w:style>
  <w:style w:type="character" w:styleId="ListLabel140">
    <w:name w:val="ListLabel 140"/>
    <w:qFormat/>
    <w:rPr>
      <w:rFonts w:cs="Wingdings"/>
    </w:rPr>
  </w:style>
  <w:style w:type="character" w:styleId="ListLabel141">
    <w:name w:val="ListLabel 141"/>
    <w:qFormat/>
    <w:rPr>
      <w:rFonts w:cs="OpenSymbol"/>
      <w:b w:val="false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cs="OpenSymbol"/>
      <w:sz w:val="22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rFonts w:cs="OpenSymbol"/>
    </w:rPr>
  </w:style>
  <w:style w:type="character" w:styleId="ListLabel153">
    <w:name w:val="ListLabel 153"/>
    <w:qFormat/>
    <w:rPr>
      <w:rFonts w:cs="OpenSymbol"/>
    </w:rPr>
  </w:style>
  <w:style w:type="character" w:styleId="ListLabel154">
    <w:name w:val="ListLabel 154"/>
    <w:qFormat/>
    <w:rPr>
      <w:rFonts w:cs="OpenSymbol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  <w:b/>
      <w:sz w:val="22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character" w:styleId="ListLabel163">
    <w:name w:val="ListLabel 163"/>
    <w:qFormat/>
    <w:rPr>
      <w:rFonts w:cs="OpenSymbol"/>
    </w:rPr>
  </w:style>
  <w:style w:type="character" w:styleId="ListLabel164">
    <w:name w:val="ListLabel 164"/>
    <w:qFormat/>
    <w:rPr>
      <w:rFonts w:cs="OpenSymbol"/>
    </w:rPr>
  </w:style>
  <w:style w:type="character" w:styleId="ListLabel165">
    <w:name w:val="ListLabel 165"/>
    <w:qFormat/>
    <w:rPr>
      <w:rFonts w:cs="OpenSymbol"/>
    </w:rPr>
  </w:style>
  <w:style w:type="character" w:styleId="ListLabel166">
    <w:name w:val="ListLabel 166"/>
    <w:qFormat/>
    <w:rPr>
      <w:rFonts w:cs="OpenSymbol"/>
    </w:rPr>
  </w:style>
  <w:style w:type="character" w:styleId="ListLabel167">
    <w:name w:val="ListLabel 167"/>
    <w:qFormat/>
    <w:rPr>
      <w:rFonts w:cs="OpenSymbol"/>
    </w:rPr>
  </w:style>
  <w:style w:type="character" w:styleId="ListLabel168">
    <w:name w:val="ListLabel 168"/>
    <w:qFormat/>
    <w:rPr>
      <w:rFonts w:cs="Symbol"/>
      <w:b/>
      <w:sz w:val="22"/>
    </w:rPr>
  </w:style>
  <w:style w:type="character" w:styleId="ListLabel169">
    <w:name w:val="ListLabel 169"/>
    <w:qFormat/>
    <w:rPr>
      <w:rFonts w:cs="Courier New"/>
    </w:rPr>
  </w:style>
  <w:style w:type="character" w:styleId="ListLabel170">
    <w:name w:val="ListLabel 170"/>
    <w:qFormat/>
    <w:rPr>
      <w:rFonts w:cs="Wingdings"/>
    </w:rPr>
  </w:style>
  <w:style w:type="character" w:styleId="ListLabel171">
    <w:name w:val="ListLabel 171"/>
    <w:qFormat/>
    <w:rPr>
      <w:rFonts w:cs="Symbol"/>
    </w:rPr>
  </w:style>
  <w:style w:type="character" w:styleId="ListLabel172">
    <w:name w:val="ListLabel 172"/>
    <w:qFormat/>
    <w:rPr>
      <w:rFonts w:cs="Courier New"/>
    </w:rPr>
  </w:style>
  <w:style w:type="character" w:styleId="ListLabel173">
    <w:name w:val="ListLabel 173"/>
    <w:qFormat/>
    <w:rPr>
      <w:rFonts w:cs="Wingdings"/>
    </w:rPr>
  </w:style>
  <w:style w:type="character" w:styleId="ListLabel174">
    <w:name w:val="ListLabel 174"/>
    <w:qFormat/>
    <w:rPr>
      <w:rFonts w:cs="Symbol"/>
    </w:rPr>
  </w:style>
  <w:style w:type="character" w:styleId="ListLabel175">
    <w:name w:val="ListLabel 175"/>
    <w:qFormat/>
    <w:rPr>
      <w:rFonts w:cs="Courier New"/>
    </w:rPr>
  </w:style>
  <w:style w:type="character" w:styleId="ListLabel176">
    <w:name w:val="ListLabel 176"/>
    <w:qFormat/>
    <w:rPr>
      <w:rFonts w:cs="Wingdings"/>
    </w:rPr>
  </w:style>
  <w:style w:type="character" w:styleId="ListLabel177">
    <w:name w:val="ListLabel 177"/>
    <w:qFormat/>
    <w:rPr>
      <w:rFonts w:ascii="Noto Sans" w:hAnsi="Noto Sans" w:cs="OpenSymbol"/>
      <w:b w:val="false"/>
      <w:sz w:val="22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rFonts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rsid w:val="0088251c"/>
    <w:pPr>
      <w:spacing w:lineRule="auto" w:line="276" w:before="0" w:after="140"/>
    </w:pPr>
    <w:rPr/>
  </w:style>
  <w:style w:type="paragraph" w:styleId="Lista">
    <w:name w:val="List"/>
    <w:basedOn w:val="Cuerpodetexto"/>
    <w:rsid w:val="0088251c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88251c"/>
    <w:pPr>
      <w:suppressLineNumbers/>
    </w:pPr>
    <w:rPr/>
  </w:style>
  <w:style w:type="paragraph" w:styleId="LONormal" w:customStyle="1">
    <w:name w:val="LO-Normal"/>
    <w:qFormat/>
    <w:rsid w:val="0088251c"/>
    <w:pPr>
      <w:widowControl/>
      <w:suppressAutoHyphens w:val="true"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Titular">
    <w:name w:val="Title"/>
    <w:basedOn w:val="Normal"/>
    <w:next w:val="Cuerpodetexto"/>
    <w:qFormat/>
    <w:rsid w:val="0088251c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Descripcin1" w:customStyle="1">
    <w:name w:val="Descripción1"/>
    <w:basedOn w:val="Normal"/>
    <w:qFormat/>
    <w:rsid w:val="0088251c"/>
    <w:pPr>
      <w:suppressLineNumbers/>
      <w:spacing w:before="120" w:after="120"/>
    </w:pPr>
    <w:rPr>
      <w:i/>
      <w:iCs/>
    </w:rPr>
  </w:style>
  <w:style w:type="paragraph" w:styleId="Default" w:customStyle="1">
    <w:name w:val="Default"/>
    <w:qFormat/>
    <w:rsid w:val="0088251c"/>
    <w:pPr>
      <w:widowControl/>
      <w:suppressAutoHyphens w:val="true"/>
      <w:bidi w:val="0"/>
      <w:jc w:val="left"/>
    </w:pPr>
    <w:rPr>
      <w:rFonts w:ascii="Arial" w:hAnsi="Arial" w:eastAsia="Arial" w:cs="Arial"/>
      <w:color w:val="000000"/>
      <w:kern w:val="2"/>
      <w:sz w:val="24"/>
      <w:szCs w:val="24"/>
      <w:lang w:val="es-ES" w:eastAsia="zh-CN" w:bidi="hi-IN"/>
    </w:rPr>
  </w:style>
  <w:style w:type="paragraph" w:styleId="Pa8" w:customStyle="1">
    <w:name w:val="Pa8"/>
    <w:basedOn w:val="Default"/>
    <w:qFormat/>
    <w:rsid w:val="0088251c"/>
    <w:pPr>
      <w:spacing w:lineRule="atLeast" w:line="201"/>
    </w:pPr>
    <w:rPr/>
  </w:style>
  <w:style w:type="paragraph" w:styleId="Contenidodelatabla" w:customStyle="1">
    <w:name w:val="Contenido de la tabla"/>
    <w:basedOn w:val="Normal"/>
    <w:qFormat/>
    <w:rsid w:val="0088251c"/>
    <w:pPr>
      <w:suppressLineNumbers/>
    </w:pPr>
    <w:rPr/>
  </w:style>
  <w:style w:type="paragraph" w:styleId="Ttulodelatabla" w:customStyle="1">
    <w:name w:val="Título de la tabla"/>
    <w:basedOn w:val="Contenidodelatabla"/>
    <w:qFormat/>
    <w:rsid w:val="0088251c"/>
    <w:pPr>
      <w:jc w:val="center"/>
    </w:pPr>
    <w:rPr>
      <w:b/>
      <w:bCs/>
    </w:rPr>
  </w:style>
  <w:style w:type="paragraph" w:styleId="ListParagraph">
    <w:name w:val="List Paragraph"/>
    <w:basedOn w:val="LONormal"/>
    <w:qFormat/>
    <w:rsid w:val="0088251c"/>
    <w:pPr>
      <w:ind w:left="720" w:hanging="0"/>
    </w:pPr>
    <w:rPr>
      <w:szCs w:val="21"/>
    </w:rPr>
  </w:style>
  <w:style w:type="paragraph" w:styleId="Standard" w:customStyle="1">
    <w:name w:val="Standard"/>
    <w:qFormat/>
    <w:rsid w:val="0020555a"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HTMLPreformatted">
    <w:name w:val="HTML Preformatted"/>
    <w:basedOn w:val="Normal"/>
    <w:link w:val="HTMLconformatoprevioCar"/>
    <w:uiPriority w:val="99"/>
    <w:semiHidden/>
    <w:unhideWhenUsed/>
    <w:qFormat/>
    <w:rsid w:val="00293f19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es-ES" w:bidi="ar-SA"/>
    </w:rPr>
  </w:style>
  <w:style w:type="paragraph" w:styleId="NormalWeb">
    <w:name w:val="Normal (Web)"/>
    <w:basedOn w:val="Normal"/>
    <w:uiPriority w:val="99"/>
    <w:semiHidden/>
    <w:unhideWhenUsed/>
    <w:qFormat/>
    <w:rsid w:val="004d2b0b"/>
    <w:pPr>
      <w:suppressAutoHyphens w:val="false"/>
      <w:spacing w:lineRule="auto" w:line="276" w:beforeAutospacing="1" w:after="142"/>
      <w:textAlignment w:val="auto"/>
    </w:pPr>
    <w:rPr>
      <w:rFonts w:ascii="Times New Roman" w:hAnsi="Times New Roman" w:eastAsia="Times New Roman" w:cs="Times New Roman"/>
      <w:kern w:val="0"/>
      <w:lang w:eastAsia="es-E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LibreOffice/6.1.5.2$Windows_x86 LibreOffice_project/90f8dcf33c87b3705e78202e3df5142b201bd805</Application>
  <Pages>2</Pages>
  <Words>262</Words>
  <Characters>1457</Characters>
  <CharactersWithSpaces>1706</CharactersWithSpaces>
  <Paragraphs>25</Paragraphs>
  <Company>Govern de les Illes Balears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2020-10-02T10:39:00Z</dcterms:created>
  <dc:creator>JEFATURA DEL ESTADO</dc:creator>
  <dc:description/>
  <cp:keywords>DECRETO LEY 8/2020 de 17/03/2020 JEFATURA DEL ESTADO BOE-A-2020-3824 BOE 73 de 2020 3824 18/03/2020</cp:keywords>
  <dc:language>es-ES</dc:language>
  <cp:lastModifiedBy/>
  <cp:lastPrinted>2020-09-03T07:40:00Z</cp:lastPrinted>
  <dcterms:modified xsi:type="dcterms:W3CDTF">2021-09-29T14:06:44Z</dcterms:modified>
  <cp:revision>21</cp:revision>
  <dc:subject>BOE-A-2020-3824</dc:subject>
  <dc:title>Disposición 3824 del BOE núm. 73 de 2020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Govern de les Illes Balears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