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Model 1</w:t>
      </w:r>
    </w:p>
    <w:p>
      <w:pPr>
        <w:rPr>
          <w:rFonts w:ascii="Noto Sans" w:hAnsi="Noto Sans" w:cs="Noto Sans"/>
          <w:b/>
          <w:sz w:val="22"/>
          <w:szCs w:val="22"/>
        </w:rPr>
      </w:pPr>
    </w:p>
    <w:p>
      <w:pPr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DOCUMENTACIÓ ACREDITATIVA QUE LA EMPRESA NO ESTÀ EN CRISI</w:t>
      </w:r>
    </w:p>
    <w:p>
      <w:pPr>
        <w:suppressAutoHyphens w:val="0"/>
        <w:spacing w:after="120"/>
        <w:jc w:val="both"/>
        <w:rPr>
          <w:rFonts w:ascii="Noto Sans" w:hAnsi="Noto Sans" w:cs="Noto Sans"/>
          <w:sz w:val="22"/>
          <w:szCs w:val="22"/>
        </w:rPr>
      </w:pPr>
    </w:p>
    <w:p>
      <w:pPr>
        <w:suppressAutoHyphens w:val="0"/>
        <w:spacing w:after="120"/>
        <w:jc w:val="both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El/la beneficiari/ària declara que </w:t>
      </w:r>
      <w:r>
        <w:rPr>
          <w:rFonts w:ascii="Noto Sans" w:hAnsi="Noto Sans" w:cs="Noto Sans"/>
          <w:b/>
          <w:sz w:val="22"/>
          <w:szCs w:val="22"/>
        </w:rPr>
        <w:t xml:space="preserve">SI </w:t>
      </w:r>
      <w:r>
        <w:rPr>
          <w:rFonts w:ascii="Noto Sans" w:hAnsi="Noto Sans" w:cs="Noto Sans"/>
          <w:sz w:val="20"/>
          <w:szCs w:val="20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  <w:fldChar w:fldCharType="separate"/>
      </w:r>
      <w:r>
        <w:rPr>
          <w:rFonts w:ascii="Noto Sans" w:hAnsi="Noto Sans" w:cs="Noto Sans"/>
          <w:sz w:val="20"/>
          <w:szCs w:val="20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/ </w:t>
      </w:r>
      <w:r>
        <w:rPr>
          <w:rFonts w:ascii="Noto Sans" w:hAnsi="Noto Sans" w:cs="Noto Sans"/>
          <w:b/>
          <w:sz w:val="22"/>
          <w:szCs w:val="22"/>
        </w:rPr>
        <w:t xml:space="preserve">NO </w:t>
      </w:r>
      <w:r>
        <w:rPr>
          <w:rFonts w:ascii="Noto Sans" w:hAnsi="Noto Sans" w:cs="Noto Sans"/>
          <w:sz w:val="20"/>
          <w:szCs w:val="20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  <w:fldChar w:fldCharType="separate"/>
      </w:r>
      <w:r>
        <w:rPr>
          <w:rFonts w:ascii="Noto Sans" w:hAnsi="Noto Sans" w:cs="Noto Sans"/>
          <w:sz w:val="20"/>
          <w:szCs w:val="20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es troba en situació de </w:t>
      </w:r>
      <w:r>
        <w:rPr>
          <w:rFonts w:ascii="Noto Sans" w:hAnsi="Noto Sans" w:cs="Noto Sans"/>
          <w:b/>
          <w:sz w:val="22"/>
          <w:szCs w:val="22"/>
        </w:rPr>
        <w:t>crisi</w:t>
      </w:r>
      <w:r>
        <w:rPr>
          <w:rFonts w:ascii="Noto Sans" w:hAnsi="Noto Sans" w:cs="Noto Sans"/>
          <w:sz w:val="22"/>
          <w:szCs w:val="22"/>
        </w:rPr>
        <w:t xml:space="preserve"> segons la definició establerta a les Directrius comunitàries sobre ajudes estatals de salvament i de reestructuració d’empreses no financeres en crisi (2014/C 249/01).</w:t>
      </w:r>
    </w:p>
    <w:p>
      <w:pPr>
        <w:rPr>
          <w:rFonts w:ascii="Noto Sans" w:hAnsi="Noto Sans" w:cs="Noto Sans"/>
          <w:sz w:val="22"/>
          <w:szCs w:val="22"/>
        </w:rPr>
      </w:pPr>
    </w:p>
    <w:p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 xml:space="preserve">Adjunta </w:t>
      </w:r>
      <w:r>
        <w:rPr>
          <w:rFonts w:ascii="Noto Sans" w:hAnsi="Noto Sans" w:cs="Noto Sans"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>
        <w:rPr>
          <w:rFonts w:ascii="Noto Sans" w:hAnsi="Noto Sans" w:cs="Noto Sans"/>
          <w:b/>
          <w:sz w:val="22"/>
          <w:szCs w:val="22"/>
        </w:rPr>
        <w:t>Memòria</w:t>
      </w:r>
      <w:r>
        <w:rPr>
          <w:rFonts w:ascii="Noto Sans" w:hAnsi="Noto Sans" w:cs="Noto Sans"/>
          <w:sz w:val="22"/>
          <w:szCs w:val="22"/>
        </w:rPr>
        <w:t xml:space="preserve"> explicativa del compliment o no compliment d’algun dels apartats a) b) c) d) del punt 2.2 de les Directrius 2014/C 249/01*, </w:t>
      </w:r>
    </w:p>
    <w:p>
      <w:pPr>
        <w:rPr>
          <w:rFonts w:ascii="Noto Sans" w:hAnsi="Noto Sans" w:cs="Noto Sans"/>
          <w:sz w:val="22"/>
          <w:szCs w:val="22"/>
        </w:rPr>
      </w:pPr>
    </w:p>
    <w:p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Juntament amb algun/s dels següents documents: </w:t>
      </w:r>
    </w:p>
    <w:p>
      <w:pPr>
        <w:rPr>
          <w:rFonts w:ascii="Noto Sans" w:hAnsi="Noto Sans" w:cs="Noto Sans"/>
          <w:sz w:val="22"/>
          <w:szCs w:val="22"/>
        </w:rPr>
      </w:pPr>
    </w:p>
    <w:p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>
        <w:rPr>
          <w:rFonts w:ascii="Noto Sans" w:hAnsi="Noto Sans" w:cs="Noto Sans"/>
          <w:b/>
          <w:sz w:val="22"/>
          <w:szCs w:val="22"/>
        </w:rPr>
        <w:t>Balanços</w:t>
      </w:r>
      <w:r>
        <w:rPr>
          <w:rFonts w:ascii="Noto Sans" w:hAnsi="Noto Sans" w:cs="Noto Sans"/>
          <w:sz w:val="22"/>
          <w:szCs w:val="22"/>
        </w:rPr>
        <w:t xml:space="preserve"> dipositats en el registre corresponent i/ó </w:t>
      </w:r>
      <w:r>
        <w:rPr>
          <w:rFonts w:ascii="Noto Sans" w:hAnsi="Noto Sans" w:cs="Noto Sans"/>
          <w:b/>
          <w:sz w:val="22"/>
          <w:szCs w:val="22"/>
        </w:rPr>
        <w:t>Impost societat</w:t>
      </w:r>
      <w:r>
        <w:rPr>
          <w:rFonts w:ascii="Noto Sans" w:hAnsi="Noto Sans" w:cs="Noto Sans"/>
          <w:sz w:val="22"/>
          <w:szCs w:val="22"/>
        </w:rPr>
        <w:t xml:space="preserve"> dels 2 darrers exercicis.</w:t>
      </w:r>
    </w:p>
    <w:p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>
        <w:rPr>
          <w:rFonts w:ascii="Noto Sans" w:hAnsi="Noto Sans" w:cs="Noto Sans"/>
          <w:b/>
          <w:sz w:val="22"/>
          <w:szCs w:val="22"/>
        </w:rPr>
        <w:t>IRPF</w:t>
      </w:r>
      <w:r>
        <w:rPr>
          <w:rFonts w:ascii="Noto Sans" w:hAnsi="Noto Sans" w:cs="Noto Sans"/>
          <w:sz w:val="22"/>
          <w:szCs w:val="22"/>
        </w:rPr>
        <w:t xml:space="preserve"> dels 2 darrers anys, en el cas de persones físiques.</w:t>
      </w:r>
    </w:p>
    <w:p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>
        <w:rPr>
          <w:rFonts w:ascii="Noto Sans" w:hAnsi="Noto Sans" w:cs="Noto Sans"/>
          <w:b/>
          <w:sz w:val="22"/>
          <w:szCs w:val="22"/>
        </w:rPr>
        <w:t>Comptabilitat</w:t>
      </w:r>
      <w:r>
        <w:rPr>
          <w:rFonts w:ascii="Noto Sans" w:hAnsi="Noto Sans" w:cs="Noto Sans"/>
          <w:sz w:val="22"/>
          <w:szCs w:val="22"/>
        </w:rPr>
        <w:t xml:space="preserve"> dels 2 darrers anys on surti l’</w:t>
      </w:r>
      <w:r>
        <w:rPr>
          <w:rFonts w:ascii="Noto Sans" w:hAnsi="Noto Sans" w:cs="Noto Sans"/>
          <w:b/>
          <w:sz w:val="22"/>
          <w:szCs w:val="22"/>
        </w:rPr>
        <w:t>evolució dels seus fons propis</w:t>
      </w:r>
      <w:r>
        <w:rPr>
          <w:rFonts w:ascii="Noto Sans" w:hAnsi="Noto Sans" w:cs="Noto Sans"/>
          <w:sz w:val="22"/>
          <w:szCs w:val="22"/>
        </w:rPr>
        <w:t>.</w:t>
      </w:r>
    </w:p>
    <w:p>
      <w:pPr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>
        <w:rPr>
          <w:rFonts w:ascii="Noto Sans" w:hAnsi="Noto Sans" w:cs="Noto Sans"/>
          <w:b/>
          <w:sz w:val="22"/>
          <w:szCs w:val="22"/>
        </w:rPr>
        <w:t>Certificat d’un auditor extern</w:t>
      </w:r>
      <w:r>
        <w:rPr>
          <w:rFonts w:ascii="Noto Sans" w:hAnsi="Noto Sans" w:cs="Noto Sans"/>
          <w:sz w:val="22"/>
          <w:szCs w:val="22"/>
        </w:rPr>
        <w:t xml:space="preserve"> que acrediti que la empresa no està en crisi d’acord amb les Directrius*.</w:t>
      </w:r>
    </w:p>
    <w:p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(Si la inversió supera els 200.000 € aquest certificat és obligatori, juntament amb els Balanços dels 2 darrers exercicis)</w:t>
      </w:r>
    </w:p>
    <w:p>
      <w:pPr>
        <w:rPr>
          <w:rFonts w:ascii="Noto Sans" w:hAnsi="Noto Sans" w:cs="Noto Sans"/>
          <w:b/>
          <w:sz w:val="22"/>
          <w:szCs w:val="22"/>
        </w:rPr>
      </w:pP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*Resum apartat 2.2 de les Directrius sobre ajudes estatals de salvament i de reestructuració d’empreses no financeres en crisi (2014/C 249/01):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Es considerarà que </w:t>
      </w:r>
      <w:r>
        <w:rPr>
          <w:rFonts w:ascii="Noto Sans" w:hAnsi="Noto Sans" w:cs="Noto Sans"/>
          <w:b/>
          <w:sz w:val="22"/>
          <w:szCs w:val="22"/>
        </w:rPr>
        <w:t xml:space="preserve">una empresa està en crisi </w:t>
      </w:r>
      <w:r>
        <w:rPr>
          <w:rFonts w:ascii="Noto Sans" w:hAnsi="Noto Sans" w:cs="Noto Sans"/>
          <w:sz w:val="22"/>
          <w:szCs w:val="22"/>
        </w:rPr>
        <w:t>si concorr almenys una de les següents circunstàncies: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ascii="Noto Sans" w:hAnsi="Noto Sans" w:cs="Noto Sans"/>
          <w:sz w:val="22"/>
          <w:szCs w:val="22"/>
        </w:rPr>
      </w:pP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a)Quan hagi desaparegut més del 50% del seu capital social subscrit com a conseqüència de les pèrdues acumulades.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both"/>
        <w:rPr>
          <w:rFonts w:ascii="Noto Sans" w:hAnsi="Noto Sans" w:cs="Noto Sans"/>
          <w:sz w:val="22"/>
          <w:szCs w:val="22"/>
        </w:rPr>
      </w:pP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b) En societats en les que algun soci tengui una responsabilitat il·limitada sobre el deute de la societat, quan hagi desaparegut per pèrdues acumulades més del 50% dels seus fons propis que figuren en la seva comptabilitat .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ascii="Noto Sans" w:hAnsi="Noto Sans" w:cs="Noto Sans"/>
          <w:sz w:val="22"/>
          <w:szCs w:val="22"/>
        </w:rPr>
      </w:pP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c) Quan l’empresa es trobi immersa en un procediment de fallida o insolvència o reuneixi els criteris establerts en Dret nacional per ser sotmesa a un procediment de fallida o insolvència a petició dels seus creditors.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ascii="Noto Sans" w:hAnsi="Noto Sans" w:cs="Noto Sans"/>
          <w:sz w:val="22"/>
          <w:szCs w:val="22"/>
        </w:rPr>
      </w:pP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d) En empreses que no siguin PIME, quan, durant els dos anys anteriors,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ind w:firstLine="72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i) la ràtio deute/capital de l’empresa hagi sigut superior a 7,5, i 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ind w:firstLine="72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ii) la ràtio de cobertura d’interessos de l’empresa, calculada sobre la base del EBITDA, sigui 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ind w:firstLine="72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inferior a 1,0.</w:t>
      </w:r>
    </w:p>
    <w:p>
      <w:pPr>
        <w:rPr>
          <w:rFonts w:ascii="Noto Sans" w:hAnsi="Noto Sans" w:cs="Noto Sans"/>
          <w:sz w:val="22"/>
          <w:szCs w:val="22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5" w:h="16837"/>
      <w:pgMar w:top="1134" w:right="1134" w:bottom="1134" w:left="1134" w:header="720" w:footer="720" w:gutter="0"/>
      <w:cols w:space="720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angal">
    <w:altName w:val="Miriam Mono CLM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LegacySanITCBoo">
    <w:altName w:val="Helvetica 35 Thin"/>
    <w:panose1 w:val="020B0502050508020304"/>
    <w:charset w:val="00"/>
    <w:family w:val="swiss"/>
    <w:pitch w:val="default"/>
    <w:sig w:usb0="00000000" w:usb1="00000000" w:usb2="00000000" w:usb3="00000000" w:csb0="00000001" w:csb1="00000000"/>
  </w:font>
  <w:font w:name="OpenSymbol">
    <w:panose1 w:val="05010000000000000000"/>
    <w:charset w:val="00"/>
    <w:family w:val="auto"/>
    <w:pitch w:val="default"/>
    <w:sig w:usb0="800000AF" w:usb1="1001ECEA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0000012" w:usb3="00000000" w:csb0="000200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NSimSun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Consolas">
    <w:panose1 w:val="020B0609020204030204"/>
    <w:charset w:val="00"/>
    <w:family w:val="modern"/>
    <w:pitch w:val="default"/>
    <w:sig w:usb0="E00006FF" w:usb1="0000FCFF" w:usb2="00000001" w:usb3="00000000" w:csb0="600001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oto Sans">
    <w:panose1 w:val="020B0502040504020204"/>
    <w:charset w:val="00"/>
    <w:family w:val="swiss"/>
    <w:pitch w:val="default"/>
    <w:sig w:usb0="E00002FF" w:usb1="400078FF" w:usb2="00000021" w:usb3="00000000" w:csb0="2000019F" w:csb1="DFD70000"/>
  </w:font>
  <w:font w:name="Helvetica 35 Thin">
    <w:panose1 w:val="020B0500000000000000"/>
    <w:charset w:val="00"/>
    <w:family w:val="auto"/>
    <w:pitch w:val="default"/>
    <w:sig w:usb0="800000AF" w:usb1="4000004A" w:usb2="00000000" w:usb3="00000000" w:csb0="00000001" w:csb1="00000000"/>
  </w:font>
  <w:font w:name="Miriam Mono CLM">
    <w:panose1 w:val="02000503000000000000"/>
    <w:charset w:val="00"/>
    <w:family w:val="auto"/>
    <w:pitch w:val="default"/>
    <w:sig w:usb0="80000803" w:usb1="50002802" w:usb2="00000000" w:usb3="00000000" w:csb0="00000020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tabs>
        <w:tab w:val="left" w:pos="2046"/>
      </w:tabs>
      <w:rPr>
        <w:rFonts w:ascii="LegacySanITCBoo" w:hAnsi="LegacySanITCBoo"/>
        <w:sz w:val="20"/>
        <w:szCs w:val="20"/>
      </w:rPr>
    </w:pPr>
    <w:r>
      <w:rPr>
        <w:rFonts w:ascii="LegacySanITCBoo" w:hAnsi="LegacySanITCBoo"/>
        <w:sz w:val="20"/>
        <w:szCs w:val="20"/>
      </w:rPr>
      <w:t>Lloc i data: …............................................................................</w:t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>Signatura</w:t>
    </w:r>
  </w:p>
  <w:p>
    <w:pPr>
      <w:pStyle w:val="12"/>
      <w:tabs>
        <w:tab w:val="left" w:pos="2046"/>
      </w:tabs>
      <w:rPr>
        <w:rFonts w:ascii="LegacySanITCBoo" w:hAnsi="LegacySanITCBoo"/>
        <w:sz w:val="20"/>
        <w:szCs w:val="20"/>
      </w:rPr>
    </w:pPr>
  </w:p>
  <w:p>
    <w:pPr>
      <w:pStyle w:val="12"/>
      <w:tabs>
        <w:tab w:val="left" w:pos="2046"/>
      </w:tabs>
      <w:rPr>
        <w:rFonts w:ascii="LegacySanITCBoo" w:hAnsi="LegacySanITCBoo"/>
        <w:sz w:val="20"/>
        <w:szCs w:val="20"/>
      </w:rPr>
    </w:pPr>
  </w:p>
  <w:p>
    <w:pPr>
      <w:pStyle w:val="12"/>
      <w:tabs>
        <w:tab w:val="left" w:pos="2046"/>
      </w:tabs>
      <w:rPr>
        <w:rFonts w:ascii="LegacySanITCBoo" w:hAnsi="LegacySanITCBoo"/>
        <w:sz w:val="20"/>
        <w:szCs w:val="20"/>
      </w:rPr>
    </w:pPr>
  </w:p>
  <w:p>
    <w:pPr>
      <w:pStyle w:val="12"/>
      <w:tabs>
        <w:tab w:val="left" w:pos="2046"/>
      </w:tabs>
    </w:pPr>
    <w:r>
      <w:rPr>
        <w:rFonts w:ascii="LegacySanITCBoo" w:hAnsi="LegacySanITCBoo"/>
        <w:sz w:val="20"/>
        <w:szCs w:val="20"/>
      </w:rPr>
      <w:t>FONS DE GARANTIA AGRÀRIA I PESQUERA DE LES ILLES BALEARS</w:t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16"/>
        <w:szCs w:val="16"/>
      </w:rPr>
      <w:t xml:space="preserve">Pàgina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5</w:t>
    </w:r>
    <w:r>
      <w:rPr>
        <w:sz w:val="16"/>
        <w:szCs w:val="16"/>
      </w:rPr>
      <w:fldChar w:fldCharType="end"/>
    </w:r>
    <w:r>
      <w:rPr>
        <w:rFonts w:ascii="LegacySanITCBoo" w:hAnsi="LegacySanITCBoo"/>
        <w:sz w:val="16"/>
        <w:szCs w:val="16"/>
      </w:rPr>
      <w:t xml:space="preserve"> de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NUMPAGES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6</w:t>
    </w:r>
    <w:r>
      <w:rPr>
        <w:sz w:val="16"/>
        <w:szCs w:val="16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2"/>
      <w:jc w:val="both"/>
      <w:rPr>
        <w:rFonts w:ascii="LegacySanITCBoo" w:hAnsi="LegacySanITCBoo"/>
        <w:sz w:val="16"/>
        <w:szCs w:val="16"/>
      </w:rPr>
    </w:pPr>
    <w:r>
      <w:rPr>
        <w:rFonts w:ascii="LegacySanITCBoo" w:hAnsi="LegacySanITCBoo"/>
        <w:sz w:val="16"/>
        <w:szCs w:val="16"/>
      </w:rPr>
      <w:t xml:space="preserve">Codi expedient: </w:t>
    </w:r>
    <w:r>
      <w:rPr>
        <w:rFonts w:ascii="LegacySanITCBoo" w:hAnsi="LegacySanITCBoo"/>
        <w:sz w:val="20"/>
        <w:szCs w:val="20"/>
      </w:rPr>
      <w:t>ITC______/_____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 w:tentative="0">
      <w:start w:val="1"/>
      <w:numFmt w:val="none"/>
      <w:pStyle w:val="2"/>
      <w:lvlText w:val=""/>
      <w:lvlJc w:val="left"/>
      <w:pPr>
        <w:tabs>
          <w:tab w:val="left" w:pos="432"/>
        </w:tabs>
        <w:ind w:left="432" w:hanging="432"/>
      </w:pPr>
    </w:lvl>
    <w:lvl w:ilvl="1" w:tentative="0">
      <w:start w:val="1"/>
      <w:numFmt w:val="none"/>
      <w:pStyle w:val="5"/>
      <w:lvlText w:val=""/>
      <w:lvlJc w:val="left"/>
      <w:pPr>
        <w:tabs>
          <w:tab w:val="left" w:pos="576"/>
        </w:tabs>
        <w:ind w:left="576" w:hanging="576"/>
      </w:pPr>
    </w:lvl>
    <w:lvl w:ilvl="2" w:tentative="0">
      <w:start w:val="1"/>
      <w:numFmt w:val="none"/>
      <w:pStyle w:val="6"/>
      <w:lvlText w:val=""/>
      <w:lvlJc w:val="left"/>
      <w:pPr>
        <w:tabs>
          <w:tab w:val="left" w:pos="720"/>
        </w:tabs>
        <w:ind w:left="720" w:hanging="720"/>
      </w:pPr>
    </w:lvl>
    <w:lvl w:ilvl="3" w:tentative="0">
      <w:start w:val="1"/>
      <w:numFmt w:val="none"/>
      <w:pStyle w:val="7"/>
      <w:lvlText w:val=""/>
      <w:lvlJc w:val="left"/>
      <w:pPr>
        <w:tabs>
          <w:tab w:val="left" w:pos="864"/>
        </w:tabs>
        <w:ind w:left="864" w:hanging="864"/>
      </w:pPr>
    </w:lvl>
    <w:lvl w:ilvl="4" w:tentative="0">
      <w:start w:val="1"/>
      <w:numFmt w:val="none"/>
      <w:pStyle w:val="8"/>
      <w:lvlText w:val=""/>
      <w:lvlJc w:val="left"/>
      <w:pPr>
        <w:tabs>
          <w:tab w:val="left" w:pos="1008"/>
        </w:tabs>
        <w:ind w:left="1008" w:hanging="1008"/>
      </w:pPr>
    </w:lvl>
    <w:lvl w:ilvl="5" w:tentative="0">
      <w:start w:val="1"/>
      <w:numFmt w:val="none"/>
      <w:pStyle w:val="9"/>
      <w:lvlText w:val=""/>
      <w:lvlJc w:val="left"/>
      <w:pPr>
        <w:tabs>
          <w:tab w:val="left" w:pos="1152"/>
        </w:tabs>
        <w:ind w:left="1152" w:hanging="1152"/>
      </w:pPr>
    </w:lvl>
    <w:lvl w:ilvl="6" w:tentative="0">
      <w:start w:val="1"/>
      <w:numFmt w:val="none"/>
      <w:lvlText w:val=""/>
      <w:lvlJc w:val="left"/>
      <w:pPr>
        <w:tabs>
          <w:tab w:val="left" w:pos="1296"/>
        </w:tabs>
        <w:ind w:left="1296" w:hanging="1296"/>
      </w:pPr>
    </w:lvl>
    <w:lvl w:ilvl="7" w:tentative="0">
      <w:start w:val="1"/>
      <w:numFmt w:val="none"/>
      <w:lvlText w:val=""/>
      <w:lvlJc w:val="left"/>
      <w:pPr>
        <w:tabs>
          <w:tab w:val="left" w:pos="1440"/>
        </w:tabs>
        <w:ind w:left="1440" w:hanging="1440"/>
      </w:pPr>
    </w:lvl>
    <w:lvl w:ilvl="8" w:tentative="0">
      <w:start w:val="1"/>
      <w:numFmt w:val="none"/>
      <w:lvlText w:val=""/>
      <w:lvlJc w:val="left"/>
      <w:pPr>
        <w:tabs>
          <w:tab w:val="left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lvl w:ilvl="0" w:tentative="0">
      <w:start w:val="1"/>
      <w:numFmt w:val="decimal"/>
      <w:pStyle w:val="39"/>
      <w:lvlText w:val="%1."/>
      <w:lvlJc w:val="left"/>
      <w:pPr>
        <w:tabs>
          <w:tab w:val="left" w:pos="720"/>
        </w:tabs>
        <w:ind w:left="720" w:hanging="360"/>
      </w:pPr>
      <w:rPr>
        <w:rFonts w:ascii="LegacySanITCBoo" w:hAnsi="LegacySanITCBoo"/>
        <w:sz w:val="20"/>
        <w:szCs w:val="20"/>
      </w:rPr>
    </w:lvl>
    <w:lvl w:ilvl="1" w:tentative="0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  <w:rPr>
        <w:rFonts w:ascii="LegacySanITCBoo" w:hAnsi="LegacySanITCBoo"/>
        <w:sz w:val="20"/>
        <w:szCs w:val="20"/>
      </w:rPr>
    </w:lvl>
    <w:lvl w:ilvl="2" w:tentative="0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  <w:rPr>
        <w:rFonts w:ascii="LegacySanITCBoo" w:hAnsi="LegacySanITCBoo"/>
        <w:sz w:val="20"/>
        <w:szCs w:val="20"/>
      </w:rPr>
    </w:lvl>
    <w:lvl w:ilvl="3" w:tentative="0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  <w:rPr>
        <w:rFonts w:ascii="LegacySanITCBoo" w:hAnsi="LegacySanITCBoo"/>
        <w:sz w:val="20"/>
        <w:szCs w:val="20"/>
      </w:rPr>
    </w:lvl>
    <w:lvl w:ilvl="4" w:tentative="0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  <w:rPr>
        <w:rFonts w:ascii="LegacySanITCBoo" w:hAnsi="LegacySanITCBoo"/>
        <w:sz w:val="20"/>
        <w:szCs w:val="20"/>
      </w:rPr>
    </w:lvl>
    <w:lvl w:ilvl="5" w:tentative="0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  <w:rPr>
        <w:rFonts w:ascii="LegacySanITCBoo" w:hAnsi="LegacySanITCBoo"/>
        <w:sz w:val="20"/>
        <w:szCs w:val="20"/>
      </w:rPr>
    </w:lvl>
    <w:lvl w:ilvl="6" w:tentative="0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  <w:rPr>
        <w:rFonts w:ascii="LegacySanITCBoo" w:hAnsi="LegacySanITCBoo"/>
        <w:sz w:val="20"/>
        <w:szCs w:val="20"/>
      </w:rPr>
    </w:lvl>
    <w:lvl w:ilvl="7" w:tentative="0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  <w:rPr>
        <w:rFonts w:ascii="LegacySanITCBoo" w:hAnsi="LegacySanITCBoo"/>
        <w:sz w:val="20"/>
        <w:szCs w:val="20"/>
      </w:rPr>
    </w:lvl>
    <w:lvl w:ilvl="8" w:tentative="0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  <w:rPr>
        <w:rFonts w:ascii="LegacySanITCBoo" w:hAnsi="LegacySanITCBoo"/>
        <w:sz w:val="20"/>
        <w:szCs w:val="20"/>
      </w:rPr>
    </w:lvl>
  </w:abstractNum>
  <w:abstractNum w:abstractNumId="2">
    <w:nsid w:val="00000003"/>
    <w:multiLevelType w:val="multilevel"/>
    <w:tmpl w:val="00000003"/>
    <w:lvl w:ilvl="0" w:tentative="0">
      <w:start w:val="1"/>
      <w:numFmt w:val="bullet"/>
      <w:pStyle w:val="40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cs="OpenSymbol"/>
      </w:rPr>
    </w:lvl>
    <w:lvl w:ilvl="1" w:tentative="0">
      <w:start w:val="1"/>
      <w:numFmt w:val="bullet"/>
      <w:lvlText w:val="◦"/>
      <w:lvlJc w:val="left"/>
      <w:pPr>
        <w:tabs>
          <w:tab w:val="left" w:pos="1080"/>
        </w:tabs>
        <w:ind w:left="1080" w:hanging="360"/>
      </w:pPr>
      <w:rPr>
        <w:rFonts w:ascii="OpenSymbol" w:hAnsi="OpenSymbol" w:cs="OpenSymbol"/>
      </w:rPr>
    </w:lvl>
    <w:lvl w:ilvl="2" w:tentative="0">
      <w:start w:val="1"/>
      <w:numFmt w:val="bullet"/>
      <w:lvlText w:val="▪"/>
      <w:lvlJc w:val="left"/>
      <w:pPr>
        <w:tabs>
          <w:tab w:val="left" w:pos="1440"/>
        </w:tabs>
        <w:ind w:left="1440" w:hanging="360"/>
      </w:pPr>
      <w:rPr>
        <w:rFonts w:ascii="OpenSymbol" w:hAnsi="OpenSymbol" w:cs="OpenSymbol"/>
      </w:rPr>
    </w:lvl>
    <w:lvl w:ilvl="3" w:tentative="0">
      <w:start w:val="1"/>
      <w:numFmt w:val="bullet"/>
      <w:lvlText w:val=""/>
      <w:lvlJc w:val="left"/>
      <w:pPr>
        <w:tabs>
          <w:tab w:val="left" w:pos="1800"/>
        </w:tabs>
        <w:ind w:left="1800" w:hanging="360"/>
      </w:pPr>
      <w:rPr>
        <w:rFonts w:ascii="Symbol" w:hAnsi="Symbol" w:cs="OpenSymbol"/>
      </w:rPr>
    </w:lvl>
    <w:lvl w:ilvl="4" w:tentative="0">
      <w:start w:val="1"/>
      <w:numFmt w:val="bullet"/>
      <w:lvlText w:val="◦"/>
      <w:lvlJc w:val="left"/>
      <w:pPr>
        <w:tabs>
          <w:tab w:val="left" w:pos="2160"/>
        </w:tabs>
        <w:ind w:left="2160" w:hanging="360"/>
      </w:pPr>
      <w:rPr>
        <w:rFonts w:ascii="OpenSymbol" w:hAnsi="OpenSymbol" w:cs="OpenSymbol"/>
      </w:rPr>
    </w:lvl>
    <w:lvl w:ilvl="5" w:tentative="0">
      <w:start w:val="1"/>
      <w:numFmt w:val="bullet"/>
      <w:lvlText w:val="▪"/>
      <w:lvlJc w:val="left"/>
      <w:pPr>
        <w:tabs>
          <w:tab w:val="left" w:pos="2520"/>
        </w:tabs>
        <w:ind w:left="2520" w:hanging="360"/>
      </w:pPr>
      <w:rPr>
        <w:rFonts w:ascii="OpenSymbol" w:hAnsi="OpenSymbol" w:cs="OpenSymbol"/>
      </w:rPr>
    </w:lvl>
    <w:lvl w:ilvl="6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cs="OpenSymbol"/>
      </w:rPr>
    </w:lvl>
    <w:lvl w:ilvl="7" w:tentative="0">
      <w:start w:val="1"/>
      <w:numFmt w:val="bullet"/>
      <w:lvlText w:val="◦"/>
      <w:lvlJc w:val="left"/>
      <w:pPr>
        <w:tabs>
          <w:tab w:val="left" w:pos="3240"/>
        </w:tabs>
        <w:ind w:left="3240" w:hanging="360"/>
      </w:pPr>
      <w:rPr>
        <w:rFonts w:ascii="OpenSymbol" w:hAnsi="OpenSymbol" w:cs="OpenSymbol"/>
      </w:rPr>
    </w:lvl>
    <w:lvl w:ilvl="8" w:tentative="0">
      <w:start w:val="1"/>
      <w:numFmt w:val="bullet"/>
      <w:lvlText w:val="▪"/>
      <w:lvlJc w:val="left"/>
      <w:pPr>
        <w:tabs>
          <w:tab w:val="left" w:pos="3600"/>
        </w:tabs>
        <w:ind w:left="3600" w:hanging="360"/>
      </w:pPr>
      <w:rPr>
        <w:rFonts w:ascii="OpenSymbol" w:hAnsi="OpenSymbol" w:cs="OpenSymbol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 w:val="1"/>
  <w:embedSystemFonts/>
  <w:documentProtection w:enforcement="0"/>
  <w:defaultTabStop w:val="720"/>
  <w:hyphenationZone w:val="425"/>
  <w:drawingGridHorizontalSpacing w:val="120"/>
  <w:drawingGridVerticalSpacing w:val="0"/>
  <w:displayHorizontalDrawingGridEvery w:val="0"/>
  <w:displayVerticalDrawingGridEvery w:val="0"/>
  <w:noPunctuationKerning w:val="1"/>
  <w:characterSpacingControl w:val="doNotCompress"/>
  <w:strictFirstAndLastChars w:val="1"/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A21"/>
    <w:rsid w:val="00027313"/>
    <w:rsid w:val="0007463D"/>
    <w:rsid w:val="00101642"/>
    <w:rsid w:val="00113CEC"/>
    <w:rsid w:val="00115B70"/>
    <w:rsid w:val="001505CE"/>
    <w:rsid w:val="001A2EBB"/>
    <w:rsid w:val="001A7C50"/>
    <w:rsid w:val="001B17B2"/>
    <w:rsid w:val="001E45C4"/>
    <w:rsid w:val="00257081"/>
    <w:rsid w:val="00260C8E"/>
    <w:rsid w:val="002823A0"/>
    <w:rsid w:val="002B15A3"/>
    <w:rsid w:val="002E7639"/>
    <w:rsid w:val="003965FB"/>
    <w:rsid w:val="00431558"/>
    <w:rsid w:val="00443E45"/>
    <w:rsid w:val="004468F8"/>
    <w:rsid w:val="004E4DAD"/>
    <w:rsid w:val="00500D48"/>
    <w:rsid w:val="00502091"/>
    <w:rsid w:val="00514072"/>
    <w:rsid w:val="005207B5"/>
    <w:rsid w:val="00520E3A"/>
    <w:rsid w:val="00523265"/>
    <w:rsid w:val="00541289"/>
    <w:rsid w:val="00546946"/>
    <w:rsid w:val="005732DC"/>
    <w:rsid w:val="005A0306"/>
    <w:rsid w:val="005E189A"/>
    <w:rsid w:val="00615926"/>
    <w:rsid w:val="00625E8F"/>
    <w:rsid w:val="00673B7B"/>
    <w:rsid w:val="00695739"/>
    <w:rsid w:val="006A737B"/>
    <w:rsid w:val="006F60B1"/>
    <w:rsid w:val="00706BD5"/>
    <w:rsid w:val="007172AF"/>
    <w:rsid w:val="00752C51"/>
    <w:rsid w:val="00755EF5"/>
    <w:rsid w:val="00762D49"/>
    <w:rsid w:val="0077697F"/>
    <w:rsid w:val="00796510"/>
    <w:rsid w:val="00856C02"/>
    <w:rsid w:val="00890D27"/>
    <w:rsid w:val="008A3627"/>
    <w:rsid w:val="008A4CED"/>
    <w:rsid w:val="008B513E"/>
    <w:rsid w:val="008C0B8A"/>
    <w:rsid w:val="008D55E6"/>
    <w:rsid w:val="008E45E0"/>
    <w:rsid w:val="008F6C33"/>
    <w:rsid w:val="00900042"/>
    <w:rsid w:val="009260AF"/>
    <w:rsid w:val="009461C3"/>
    <w:rsid w:val="00972C4D"/>
    <w:rsid w:val="00980CA9"/>
    <w:rsid w:val="00991E60"/>
    <w:rsid w:val="009C2D19"/>
    <w:rsid w:val="00A21D9B"/>
    <w:rsid w:val="00A4266B"/>
    <w:rsid w:val="00AE2881"/>
    <w:rsid w:val="00AE72DA"/>
    <w:rsid w:val="00B0001E"/>
    <w:rsid w:val="00B0005A"/>
    <w:rsid w:val="00B0516D"/>
    <w:rsid w:val="00B07DF5"/>
    <w:rsid w:val="00B15969"/>
    <w:rsid w:val="00B64323"/>
    <w:rsid w:val="00BA5A12"/>
    <w:rsid w:val="00BD63C8"/>
    <w:rsid w:val="00BE2F9B"/>
    <w:rsid w:val="00C11838"/>
    <w:rsid w:val="00C320CB"/>
    <w:rsid w:val="00C4163B"/>
    <w:rsid w:val="00C51F24"/>
    <w:rsid w:val="00C865C1"/>
    <w:rsid w:val="00C9713E"/>
    <w:rsid w:val="00CA094C"/>
    <w:rsid w:val="00CE2E86"/>
    <w:rsid w:val="00CE568F"/>
    <w:rsid w:val="00CF3CE3"/>
    <w:rsid w:val="00D05F4C"/>
    <w:rsid w:val="00D21E6B"/>
    <w:rsid w:val="00E25A21"/>
    <w:rsid w:val="00E474EE"/>
    <w:rsid w:val="00E47B3F"/>
    <w:rsid w:val="00E62944"/>
    <w:rsid w:val="00E63ED1"/>
    <w:rsid w:val="00ED2085"/>
    <w:rsid w:val="00EE17CF"/>
    <w:rsid w:val="00F10866"/>
    <w:rsid w:val="00F12AD6"/>
    <w:rsid w:val="00F36F9E"/>
    <w:rsid w:val="00F44FDF"/>
    <w:rsid w:val="00F6577E"/>
    <w:rsid w:val="00F70DA1"/>
    <w:rsid w:val="00F80769"/>
    <w:rsid w:val="00F92A38"/>
    <w:rsid w:val="00FD41D0"/>
    <w:rsid w:val="00FF07D6"/>
    <w:rsid w:val="00FF72B4"/>
    <w:rsid w:val="13670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Times New Roma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semiHidden="0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</w:pPr>
    <w:rPr>
      <w:rFonts w:ascii="Times New Roman" w:hAnsi="Times New Roman" w:eastAsia="SimSun" w:cs="Mangal"/>
      <w:kern w:val="1"/>
      <w:sz w:val="24"/>
      <w:szCs w:val="24"/>
      <w:lang w:val="ca-ES" w:eastAsia="hi-IN" w:bidi="hi-IN"/>
    </w:rPr>
  </w:style>
  <w:style w:type="paragraph" w:styleId="2">
    <w:name w:val="heading 1"/>
    <w:basedOn w:val="3"/>
    <w:next w:val="4"/>
    <w:qFormat/>
    <w:uiPriority w:val="0"/>
    <w:pPr>
      <w:numPr>
        <w:ilvl w:val="0"/>
        <w:numId w:val="1"/>
      </w:numPr>
      <w:outlineLvl w:val="0"/>
    </w:pPr>
    <w:rPr>
      <w:b/>
      <w:bCs/>
      <w:sz w:val="32"/>
      <w:szCs w:val="32"/>
    </w:rPr>
  </w:style>
  <w:style w:type="paragraph" w:styleId="5">
    <w:name w:val="heading 2"/>
    <w:basedOn w:val="1"/>
    <w:next w:val="1"/>
    <w:qFormat/>
    <w:uiPriority w:val="0"/>
    <w:pPr>
      <w:keepNext/>
      <w:numPr>
        <w:ilvl w:val="1"/>
        <w:numId w:val="1"/>
      </w:numPr>
      <w:outlineLvl w:val="1"/>
    </w:pPr>
    <w:rPr>
      <w:b/>
    </w:rPr>
  </w:style>
  <w:style w:type="paragraph" w:styleId="6">
    <w:name w:val="heading 3"/>
    <w:basedOn w:val="3"/>
    <w:next w:val="4"/>
    <w:qFormat/>
    <w:uiPriority w:val="0"/>
    <w:pPr>
      <w:numPr>
        <w:ilvl w:val="2"/>
        <w:numId w:val="1"/>
      </w:numPr>
      <w:outlineLvl w:val="2"/>
    </w:pPr>
    <w:rPr>
      <w:b/>
      <w:bCs/>
    </w:rPr>
  </w:style>
  <w:style w:type="paragraph" w:styleId="7">
    <w:name w:val="heading 4"/>
    <w:basedOn w:val="3"/>
    <w:next w:val="4"/>
    <w:qFormat/>
    <w:uiPriority w:val="0"/>
    <w:pPr>
      <w:numPr>
        <w:ilvl w:val="3"/>
        <w:numId w:val="1"/>
      </w:numPr>
      <w:spacing w:before="120"/>
      <w:outlineLvl w:val="3"/>
    </w:pPr>
    <w:rPr>
      <w:b/>
      <w:bCs/>
      <w:i/>
      <w:iCs/>
      <w:color w:val="808080"/>
      <w:sz w:val="27"/>
      <w:szCs w:val="27"/>
    </w:rPr>
  </w:style>
  <w:style w:type="paragraph" w:styleId="8">
    <w:name w:val="heading 5"/>
    <w:basedOn w:val="3"/>
    <w:next w:val="4"/>
    <w:qFormat/>
    <w:uiPriority w:val="0"/>
    <w:pPr>
      <w:numPr>
        <w:ilvl w:val="4"/>
        <w:numId w:val="1"/>
      </w:numPr>
      <w:outlineLvl w:val="4"/>
    </w:pPr>
    <w:rPr>
      <w:b/>
      <w:sz w:val="24"/>
    </w:rPr>
  </w:style>
  <w:style w:type="paragraph" w:styleId="9">
    <w:name w:val="heading 6"/>
    <w:basedOn w:val="3"/>
    <w:next w:val="4"/>
    <w:qFormat/>
    <w:uiPriority w:val="0"/>
    <w:pPr>
      <w:numPr>
        <w:ilvl w:val="5"/>
        <w:numId w:val="1"/>
      </w:numPr>
      <w:outlineLvl w:val="5"/>
    </w:pPr>
    <w:rPr>
      <w:b/>
      <w:i/>
      <w:sz w:val="21"/>
    </w:rPr>
  </w:style>
  <w:style w:type="character" w:default="1" w:styleId="17">
    <w:name w:val="Default Paragraph Font"/>
    <w:semiHidden/>
    <w:unhideWhenUsed/>
    <w:uiPriority w:val="1"/>
  </w:style>
  <w:style w:type="table" w:default="1" w:styleId="1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Encapçalament"/>
    <w:basedOn w:val="1"/>
    <w:next w:val="4"/>
    <w:uiPriority w:val="0"/>
    <w:pPr>
      <w:keepNext/>
      <w:spacing w:before="240" w:after="120"/>
    </w:pPr>
    <w:rPr>
      <w:rFonts w:ascii="Arial" w:hAnsi="Arial" w:eastAsia="MS Mincho" w:cs="Tahoma"/>
      <w:sz w:val="28"/>
      <w:szCs w:val="28"/>
    </w:rPr>
  </w:style>
  <w:style w:type="paragraph" w:styleId="4">
    <w:name w:val="Body Text"/>
    <w:basedOn w:val="1"/>
    <w:uiPriority w:val="0"/>
    <w:pPr>
      <w:spacing w:after="120"/>
    </w:pPr>
  </w:style>
  <w:style w:type="paragraph" w:styleId="10">
    <w:name w:val="Balloon Text"/>
    <w:basedOn w:val="1"/>
    <w:link w:val="41"/>
    <w:semiHidden/>
    <w:unhideWhenUsed/>
    <w:qFormat/>
    <w:uiPriority w:val="99"/>
    <w:rPr>
      <w:rFonts w:ascii="Tahoma" w:hAnsi="Tahoma"/>
      <w:sz w:val="16"/>
      <w:szCs w:val="14"/>
    </w:rPr>
  </w:style>
  <w:style w:type="paragraph" w:styleId="11">
    <w:name w:val="footer"/>
    <w:basedOn w:val="1"/>
    <w:uiPriority w:val="0"/>
    <w:pPr>
      <w:suppressLineNumbers/>
      <w:tabs>
        <w:tab w:val="center" w:pos="5385"/>
        <w:tab w:val="right" w:pos="10771"/>
      </w:tabs>
    </w:pPr>
  </w:style>
  <w:style w:type="paragraph" w:styleId="12">
    <w:name w:val="footnote text"/>
    <w:basedOn w:val="1"/>
    <w:qFormat/>
    <w:uiPriority w:val="0"/>
    <w:pPr>
      <w:pBdr>
        <w:top w:val="single" w:color="000000" w:sz="4" w:space="1"/>
      </w:pBdr>
    </w:pPr>
  </w:style>
  <w:style w:type="paragraph" w:styleId="13">
    <w:name w:val="header"/>
    <w:basedOn w:val="1"/>
    <w:uiPriority w:val="0"/>
    <w:pPr>
      <w:suppressLineNumbers/>
      <w:tabs>
        <w:tab w:val="center" w:pos="4818"/>
        <w:tab w:val="right" w:pos="9637"/>
      </w:tabs>
    </w:pPr>
  </w:style>
  <w:style w:type="paragraph" w:styleId="14">
    <w:name w:val="List"/>
    <w:basedOn w:val="4"/>
    <w:uiPriority w:val="0"/>
    <w:rPr>
      <w:rFonts w:cs="Tahoma"/>
    </w:rPr>
  </w:style>
  <w:style w:type="paragraph" w:styleId="15">
    <w:name w:val="Subtitle"/>
    <w:basedOn w:val="3"/>
    <w:next w:val="4"/>
    <w:qFormat/>
    <w:uiPriority w:val="0"/>
    <w:pPr>
      <w:jc w:val="center"/>
    </w:pPr>
    <w:rPr>
      <w:i/>
      <w:iCs/>
    </w:rPr>
  </w:style>
  <w:style w:type="paragraph" w:styleId="16">
    <w:name w:val="Title"/>
    <w:basedOn w:val="3"/>
    <w:next w:val="4"/>
    <w:qFormat/>
    <w:uiPriority w:val="0"/>
    <w:pPr>
      <w:jc w:val="center"/>
    </w:pPr>
    <w:rPr>
      <w:b/>
      <w:bCs/>
      <w:sz w:val="36"/>
      <w:szCs w:val="36"/>
    </w:rPr>
  </w:style>
  <w:style w:type="character" w:styleId="18">
    <w:name w:val="Hyperlink"/>
    <w:uiPriority w:val="0"/>
    <w:rPr>
      <w:color w:val="000080"/>
      <w:u w:val="single"/>
    </w:rPr>
  </w:style>
  <w:style w:type="table" w:styleId="20">
    <w:name w:val="Table Grid"/>
    <w:basedOn w:val="19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1">
    <w:name w:val="Símbols de numeració"/>
    <w:qFormat/>
    <w:uiPriority w:val="0"/>
    <w:rPr>
      <w:rFonts w:ascii="LegacySanITCBoo" w:hAnsi="LegacySanITCBoo"/>
      <w:sz w:val="20"/>
      <w:szCs w:val="20"/>
    </w:rPr>
  </w:style>
  <w:style w:type="character" w:customStyle="1" w:styleId="22">
    <w:name w:val="Símbols de pic"/>
    <w:uiPriority w:val="0"/>
    <w:rPr>
      <w:rFonts w:ascii="OpenSymbol" w:hAnsi="OpenSymbol" w:eastAsia="OpenSymbol" w:cs="OpenSymbol"/>
    </w:rPr>
  </w:style>
  <w:style w:type="character" w:customStyle="1" w:styleId="23">
    <w:name w:val="XDocReport_EmptyText"/>
    <w:uiPriority w:val="0"/>
  </w:style>
  <w:style w:type="character" w:customStyle="1" w:styleId="24">
    <w:name w:val="XDocReport_Bold"/>
    <w:uiPriority w:val="0"/>
    <w:rPr>
      <w:b/>
    </w:rPr>
  </w:style>
  <w:style w:type="character" w:customStyle="1" w:styleId="25">
    <w:name w:val="XDocReport_Italic"/>
    <w:uiPriority w:val="0"/>
    <w:rPr>
      <w:i/>
    </w:rPr>
  </w:style>
  <w:style w:type="character" w:customStyle="1" w:styleId="26">
    <w:name w:val="XDocReport_Underline"/>
    <w:uiPriority w:val="0"/>
    <w:rPr>
      <w:u w:val="single"/>
    </w:rPr>
  </w:style>
  <w:style w:type="character" w:customStyle="1" w:styleId="27">
    <w:name w:val="XDocReport_Strike"/>
    <w:uiPriority w:val="0"/>
    <w:rPr>
      <w:strike/>
      <w:u w:val="none"/>
    </w:rPr>
  </w:style>
  <w:style w:type="character" w:customStyle="1" w:styleId="28">
    <w:name w:val="XDocReport_Subscript"/>
    <w:uiPriority w:val="0"/>
    <w:rPr>
      <w:vertAlign w:val="subscript"/>
    </w:rPr>
  </w:style>
  <w:style w:type="character" w:customStyle="1" w:styleId="29">
    <w:name w:val="XDocReport_Superscript"/>
    <w:uiPriority w:val="0"/>
    <w:rPr>
      <w:vertAlign w:val="superscript"/>
    </w:rPr>
  </w:style>
  <w:style w:type="paragraph" w:customStyle="1" w:styleId="30">
    <w:name w:val="Llegenda"/>
    <w:basedOn w:val="1"/>
    <w:uiPriority w:val="0"/>
    <w:pPr>
      <w:suppressLineNumbers/>
      <w:spacing w:before="120" w:after="120"/>
    </w:pPr>
    <w:rPr>
      <w:rFonts w:cs="Tahoma"/>
      <w:i/>
      <w:iCs/>
    </w:rPr>
  </w:style>
  <w:style w:type="paragraph" w:customStyle="1" w:styleId="31">
    <w:name w:val="Índex"/>
    <w:basedOn w:val="1"/>
    <w:qFormat/>
    <w:uiPriority w:val="0"/>
    <w:pPr>
      <w:suppressLineNumbers/>
    </w:pPr>
    <w:rPr>
      <w:rFonts w:cs="Tahoma"/>
    </w:rPr>
  </w:style>
  <w:style w:type="paragraph" w:customStyle="1" w:styleId="32">
    <w:name w:val="Contingut de la taula"/>
    <w:basedOn w:val="1"/>
    <w:qFormat/>
    <w:uiPriority w:val="0"/>
    <w:pPr>
      <w:suppressLineNumbers/>
    </w:pPr>
  </w:style>
  <w:style w:type="paragraph" w:customStyle="1" w:styleId="33">
    <w:name w:val="Encapçalament de la taula"/>
    <w:basedOn w:val="32"/>
    <w:uiPriority w:val="0"/>
    <w:pPr>
      <w:jc w:val="center"/>
    </w:pPr>
    <w:rPr>
      <w:b/>
      <w:bCs/>
    </w:rPr>
  </w:style>
  <w:style w:type="paragraph" w:customStyle="1" w:styleId="34">
    <w:name w:val="Text preformatat"/>
    <w:basedOn w:val="1"/>
    <w:uiPriority w:val="0"/>
    <w:rPr>
      <w:rFonts w:ascii="Courier New" w:hAnsi="Courier New" w:eastAsia="NSimSun" w:cs="Courier New"/>
      <w:sz w:val="20"/>
      <w:szCs w:val="20"/>
    </w:rPr>
  </w:style>
  <w:style w:type="paragraph" w:customStyle="1" w:styleId="35">
    <w:name w:val="codi"/>
    <w:basedOn w:val="4"/>
    <w:qFormat/>
    <w:uiPriority w:val="0"/>
    <w:pPr>
      <w:spacing w:after="0"/>
    </w:pPr>
    <w:rPr>
      <w:rFonts w:ascii="Consolas" w:hAnsi="Consolas" w:eastAsia="Consolas" w:cs="Consolas"/>
      <w:color w:val="2A00FF"/>
      <w:sz w:val="16"/>
      <w:szCs w:val="20"/>
      <w:lang w:val="es-ES"/>
    </w:rPr>
  </w:style>
  <w:style w:type="paragraph" w:customStyle="1" w:styleId="36">
    <w:name w:val="Citacions"/>
    <w:basedOn w:val="1"/>
    <w:qFormat/>
    <w:uiPriority w:val="0"/>
    <w:pPr>
      <w:spacing w:after="283"/>
      <w:ind w:left="567" w:right="567"/>
    </w:pPr>
  </w:style>
  <w:style w:type="paragraph" w:customStyle="1" w:styleId="37">
    <w:name w:val="XDocReport_ParaBreakBefore"/>
    <w:qFormat/>
    <w:uiPriority w:val="0"/>
    <w:pPr>
      <w:pageBreakBefore/>
      <w:widowControl w:val="0"/>
      <w:suppressAutoHyphens/>
    </w:pPr>
    <w:rPr>
      <w:rFonts w:ascii="Times New Roman" w:hAnsi="Times New Roman" w:eastAsia="SimSun" w:cs="Mangal"/>
      <w:kern w:val="1"/>
      <w:sz w:val="24"/>
      <w:szCs w:val="24"/>
      <w:lang w:val="es-ES" w:eastAsia="hi-IN" w:bidi="hi-IN"/>
    </w:rPr>
  </w:style>
  <w:style w:type="paragraph" w:customStyle="1" w:styleId="38">
    <w:name w:val="XDocReport_ParaBreakAfter"/>
    <w:qFormat/>
    <w:uiPriority w:val="0"/>
    <w:pPr>
      <w:widowControl w:val="0"/>
      <w:suppressAutoHyphens/>
    </w:pPr>
    <w:rPr>
      <w:rFonts w:ascii="Times New Roman" w:hAnsi="Times New Roman" w:eastAsia="SimSun" w:cs="Mangal"/>
      <w:kern w:val="1"/>
      <w:sz w:val="24"/>
      <w:szCs w:val="24"/>
      <w:lang w:val="es-ES" w:eastAsia="hi-IN" w:bidi="hi-IN"/>
    </w:rPr>
  </w:style>
  <w:style w:type="paragraph" w:customStyle="1" w:styleId="39">
    <w:name w:val="XDocReport_OL_P"/>
    <w:basedOn w:val="1"/>
    <w:qFormat/>
    <w:uiPriority w:val="0"/>
    <w:pPr>
      <w:numPr>
        <w:ilvl w:val="0"/>
        <w:numId w:val="2"/>
      </w:numPr>
    </w:pPr>
  </w:style>
  <w:style w:type="paragraph" w:customStyle="1" w:styleId="40">
    <w:name w:val="XDocReport_UL_P"/>
    <w:basedOn w:val="1"/>
    <w:qFormat/>
    <w:uiPriority w:val="0"/>
    <w:pPr>
      <w:numPr>
        <w:ilvl w:val="0"/>
        <w:numId w:val="3"/>
      </w:numPr>
    </w:pPr>
  </w:style>
  <w:style w:type="character" w:customStyle="1" w:styleId="41">
    <w:name w:val="Texto de globo Car"/>
    <w:basedOn w:val="17"/>
    <w:link w:val="10"/>
    <w:semiHidden/>
    <w:qFormat/>
    <w:uiPriority w:val="99"/>
    <w:rPr>
      <w:rFonts w:ascii="Tahoma" w:hAnsi="Tahoma" w:eastAsia="SimSun" w:cs="Mangal"/>
      <w:kern w:val="1"/>
      <w:sz w:val="16"/>
      <w:szCs w:val="14"/>
      <w:lang w:val="ca-ES" w:eastAsia="hi-IN" w:bidi="hi-I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Govern de les Illes Balears</Company>
  <Pages>5</Pages>
  <Words>955</Words>
  <Characters>5257</Characters>
  <Lines>43</Lines>
  <Paragraphs>12</Paragraphs>
  <TotalTime>16</TotalTime>
  <ScaleCrop>false</ScaleCrop>
  <LinksUpToDate>false</LinksUpToDate>
  <CharactersWithSpaces>6200</CharactersWithSpaces>
  <Application>WPS Office_11.2.0.8970_F1E327BC-269C-435d-A152-05C5408002CA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2021-06-16T08:40:00Z</dcterms:created>
  <dc:creator>u82120</dc:creator>
  <cp:lastModifiedBy>u07573</cp:lastModifiedBy>
  <cp:lastPrinted>2021-06-10T07:26:00Z</cp:lastPrinted>
  <dcterms:modified xsi:type="dcterms:W3CDTF">2021-06-22T11:54:13Z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1033-11.2.0.8970</vt:lpwstr>
  </property>
</Properties>
</file>