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CB" w:rsidRPr="007B7A66" w:rsidRDefault="00C25ACB" w:rsidP="002C60D6">
      <w:pPr>
        <w:pStyle w:val="Ttulo"/>
        <w:rPr>
          <w:rFonts w:ascii="LegacySanITCBoo" w:hAnsi="LegacySanITCBoo"/>
          <w:color w:val="000000" w:themeColor="text1"/>
          <w:sz w:val="24"/>
          <w:szCs w:val="24"/>
          <w:lang w:val="es-ES"/>
        </w:rPr>
      </w:pPr>
    </w:p>
    <w:p w:rsidR="007D1A9F" w:rsidRPr="007B7A66" w:rsidRDefault="007D1A9F" w:rsidP="007D1A9F">
      <w:pPr>
        <w:pStyle w:val="Ttulo"/>
        <w:jc w:val="center"/>
        <w:rPr>
          <w:rFonts w:ascii="LegacySanITCBoo" w:hAnsi="LegacySanITCBoo"/>
          <w:color w:val="000000" w:themeColor="text1"/>
          <w:sz w:val="24"/>
          <w:szCs w:val="24"/>
          <w:lang w:val="es-ES"/>
        </w:rPr>
      </w:pPr>
    </w:p>
    <w:p w:rsidR="007D1A9F" w:rsidRPr="007B7A66" w:rsidRDefault="007D1A9F" w:rsidP="007D1A9F">
      <w:pPr>
        <w:pStyle w:val="Ttulo"/>
        <w:jc w:val="center"/>
        <w:rPr>
          <w:rFonts w:ascii="LegacySanITCBoo" w:hAnsi="LegacySanITCBoo"/>
          <w:color w:val="000000" w:themeColor="text1"/>
          <w:sz w:val="24"/>
          <w:szCs w:val="24"/>
          <w:lang w:val="es-ES"/>
        </w:rPr>
      </w:pPr>
    </w:p>
    <w:p w:rsidR="007D1A9F" w:rsidRPr="007B7A66" w:rsidRDefault="007D1A9F" w:rsidP="007D1A9F">
      <w:pPr>
        <w:pStyle w:val="Ttulo"/>
        <w:jc w:val="center"/>
        <w:rPr>
          <w:rFonts w:ascii="LegacySanITCBoo" w:hAnsi="LegacySanITCBoo"/>
          <w:color w:val="000000" w:themeColor="text1"/>
          <w:sz w:val="24"/>
          <w:szCs w:val="24"/>
          <w:lang w:val="es-ES"/>
        </w:rPr>
      </w:pPr>
    </w:p>
    <w:p w:rsidR="004621E6" w:rsidRPr="007B7A66" w:rsidRDefault="00B03ABF" w:rsidP="007D1A9F">
      <w:pPr>
        <w:pStyle w:val="Ttulo"/>
        <w:jc w:val="center"/>
        <w:rPr>
          <w:rFonts w:ascii="LegacySanITCBoo" w:eastAsia="HelveticaNeueLTStd-Roman" w:hAnsi="LegacySanITCBoo" w:cs="HelveticaNeueLTStd-Roman"/>
          <w:b/>
          <w:color w:val="000000" w:themeColor="text1"/>
          <w:spacing w:val="0"/>
          <w:kern w:val="0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b/>
          <w:color w:val="000000" w:themeColor="text1"/>
          <w:spacing w:val="0"/>
          <w:kern w:val="0"/>
          <w:sz w:val="24"/>
          <w:szCs w:val="24"/>
        </w:rPr>
        <w:t xml:space="preserve">T3. </w:t>
      </w:r>
      <w:r w:rsidR="00C25ACB" w:rsidRPr="007B7A66">
        <w:rPr>
          <w:rFonts w:ascii="LegacySanITCBoo" w:eastAsia="HelveticaNeueLTStd-Roman" w:hAnsi="LegacySanITCBoo" w:cs="HelveticaNeueLTStd-Roman"/>
          <w:b/>
          <w:color w:val="000000" w:themeColor="text1"/>
          <w:spacing w:val="0"/>
          <w:kern w:val="0"/>
          <w:sz w:val="24"/>
          <w:szCs w:val="24"/>
        </w:rPr>
        <w:t xml:space="preserve">GUIÓ </w:t>
      </w:r>
      <w:r w:rsidR="008773E1" w:rsidRPr="007B7A66">
        <w:rPr>
          <w:rFonts w:ascii="LegacySanITCBoo" w:eastAsia="HelveticaNeueLTStd-Roman" w:hAnsi="LegacySanITCBoo" w:cs="HelveticaNeueLTStd-Roman"/>
          <w:b/>
          <w:color w:val="000000" w:themeColor="text1"/>
          <w:spacing w:val="0"/>
          <w:kern w:val="0"/>
          <w:sz w:val="24"/>
          <w:szCs w:val="24"/>
        </w:rPr>
        <w:t>DIAGNOSI SOCIOECONÒMICA</w:t>
      </w:r>
    </w:p>
    <w:p w:rsidR="00F936BC" w:rsidRPr="007B7A66" w:rsidRDefault="00017AF0" w:rsidP="007D1A9F">
      <w:pPr>
        <w:pStyle w:val="Ttulo"/>
        <w:jc w:val="center"/>
        <w:rPr>
          <w:rFonts w:ascii="LegacySanITCBoo" w:eastAsia="HelveticaNeueLTStd-Roman" w:hAnsi="LegacySanITCBoo" w:cs="HelveticaNeueLTStd-Roman"/>
          <w:b/>
          <w:color w:val="000000" w:themeColor="text1"/>
          <w:spacing w:val="0"/>
          <w:kern w:val="0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pacing w:val="0"/>
          <w:kern w:val="0"/>
          <w:sz w:val="24"/>
          <w:szCs w:val="24"/>
        </w:rPr>
        <w:t>DESENVOLUPAMENT LOCAL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536"/>
      </w:tblGrid>
      <w:tr w:rsidR="004621E6" w:rsidRPr="007B7A66" w:rsidTr="00DC4B4A">
        <w:tc>
          <w:tcPr>
            <w:tcW w:w="8536" w:type="dxa"/>
          </w:tcPr>
          <w:p w:rsidR="004621E6" w:rsidRPr="007B7A66" w:rsidRDefault="004621E6" w:rsidP="000A13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egacySanITCBoo" w:eastAsia="HelveticaNeueLTStd-Roman" w:hAnsi="LegacySanITCBoo" w:cs="HelveticaNeueLTStd-Roman"/>
                <w:color w:val="000000" w:themeColor="text1"/>
                <w:sz w:val="24"/>
                <w:szCs w:val="24"/>
              </w:rPr>
            </w:pPr>
            <w:r w:rsidRPr="007B7A66"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  <w:t xml:space="preserve">Núm. </w:t>
            </w:r>
            <w:r w:rsidR="007C490F"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  <w:t xml:space="preserve"> d’expedient del </w:t>
            </w:r>
            <w:r w:rsidRPr="007B7A66"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  <w:t xml:space="preserve">projecte: </w:t>
            </w:r>
          </w:p>
          <w:p w:rsidR="004621E6" w:rsidRPr="007B7A66" w:rsidRDefault="004621E6" w:rsidP="000A13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egacySanITCBoo" w:eastAsia="HelveticaNeueLTStd-Roman" w:hAnsi="LegacySanITCBoo" w:cs="HelveticaNeueLTStd-Roman"/>
                <w:color w:val="000000" w:themeColor="text1"/>
                <w:sz w:val="24"/>
                <w:szCs w:val="24"/>
              </w:rPr>
            </w:pPr>
            <w:r w:rsidRPr="007B7A66"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  <w:t xml:space="preserve">Nom projecte: </w:t>
            </w:r>
          </w:p>
          <w:p w:rsidR="004621E6" w:rsidRPr="007B7A66" w:rsidRDefault="004621E6" w:rsidP="000A13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egacySanITCBoo" w:eastAsia="HelveticaNeueLTStd-Roman" w:hAnsi="LegacySanITCBoo" w:cs="HelveticaNeueLTStd-Roman"/>
                <w:color w:val="000000" w:themeColor="text1"/>
                <w:sz w:val="24"/>
                <w:szCs w:val="24"/>
              </w:rPr>
            </w:pPr>
            <w:r w:rsidRPr="007B7A66"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  <w:t xml:space="preserve">Entitat: </w:t>
            </w:r>
          </w:p>
          <w:p w:rsidR="004621E6" w:rsidRPr="007B7A66" w:rsidRDefault="004621E6" w:rsidP="000A13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</w:pPr>
            <w:r w:rsidRPr="007B7A66">
              <w:rPr>
                <w:rFonts w:ascii="LegacySanITCBoo" w:eastAsia="HelveticaNeueLTStd-Roman" w:hAnsi="LegacySanITCBoo" w:cs="HelveticaNeueLTStd-Roman"/>
                <w:b/>
                <w:color w:val="000000" w:themeColor="text1"/>
                <w:sz w:val="24"/>
                <w:szCs w:val="24"/>
              </w:rPr>
              <w:t>Territori/s d’actuació:</w:t>
            </w:r>
            <w:r w:rsidRPr="007B7A66">
              <w:rPr>
                <w:rFonts w:ascii="LegacySanITCBoo" w:eastAsia="HelveticaNeueLTStd-Roman" w:hAnsi="LegacySanITCBoo" w:cs="HelveticaNeueLTStd-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B7A66" w:rsidRPr="007B7A66" w:rsidRDefault="007B7A66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8773E1" w:rsidRPr="007B7A66" w:rsidRDefault="00C70E50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L’acció de diagnosticar és, en medicina, l’acte de reconèixer una malaltia mitjançant l’observació dels seus símptomes, sempre que sigui possible a traves de mesures objectives. Anàlogament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, la diagnosi é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s un exercici d’anàlisi, interpretació i comprensió d’una problemàtica concreta.</w:t>
      </w:r>
    </w:p>
    <w:p w:rsidR="00C70E50" w:rsidRPr="007B7A66" w:rsidRDefault="00C70E50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En el marc de la planificació estratègica territorial, la diagnosi constitueix un fonament bàsic del procés, que ha de permetre obtenir una comprensió orientada a l’acció i construir les síntesis prospectives sobre les quals es basa la presa de decisions. Dit en altres paraules, la diagnosi del present ajuda a prendre decisions racionals, informades i legitimades sobre el futur.</w:t>
      </w:r>
    </w:p>
    <w:p w:rsidR="00C70E50" w:rsidRPr="007B7A66" w:rsidRDefault="00BF7510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L</w:t>
      </w:r>
      <w:r w:rsidR="00C70E5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a diagnosi territorial inclou, a més de l’estudi del capital físic d’un territori, les dinàmiques econòmiques i socioculturals que hi intervenen. Aquesta ha de garantir el reconeixement i concreció dels problemes així com desvetllar les potencialitats latents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.</w:t>
      </w:r>
    </w:p>
    <w:p w:rsidR="00C70E50" w:rsidRPr="007B7A66" w:rsidRDefault="00C70E50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L’etapa de diagnosi se situa a l’inici del pla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estratègic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i integra, relaciona i interpreta el conjunt de dades, fets i opinions, sovint parcials, que es refereixen a un entorn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geogràfic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concret.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L’anàlisi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es realitza a partir de la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combinació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dels elements interns i dels que hi influeixen externament, creant una determinada imatge actual del territori i les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seves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tendències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de futur.</w:t>
      </w:r>
    </w:p>
    <w:p w:rsidR="00C70E50" w:rsidRPr="007B7A66" w:rsidRDefault="00C70E50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La diagnosi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estratègica é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s una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síntesi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d’informació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i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procés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d’interpretació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que analitza les debilitats i les fortaleses, les amenaces i les oportunitats futures d’un determinat territori.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A la prà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ctica cal, d’una banda, integrar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informació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dispersa de base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científica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i percepcions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dels actors clau per mitja de processos de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participació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oberts. I, de l’altra,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generar nou coneixement a partir de la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interpretació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consensuada d’aquesta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informació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per part dels mateixos actors. </w:t>
      </w:r>
    </w:p>
    <w:p w:rsidR="007D1A9F" w:rsidRPr="007B7A66" w:rsidRDefault="00C70E50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En definitiva, la diagnosi consisteix a respondre les preguntes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següents</w:t>
      </w:r>
      <w:r w:rsidR="00684B8A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: com é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s el territori?, quina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evolució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ha seguit fins ara?, quina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evolució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</w:t>
      </w:r>
      <w:r w:rsidR="00684B8A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é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s previsible a mitj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à i llarg termini?, quins só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n els factors determinants en el seu desenvolupament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econòmic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i social?, quina </w:t>
      </w:r>
      <w:r w:rsidR="00BF7510"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percepció</w:t>
      </w: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 xml:space="preserve"> en tenen els diferents actors que hi intervenen?, quines expectatives de futur tenen els actors?, quins problemes, fortaleses, amenaces i oportunitats presenta?</w:t>
      </w:r>
    </w:p>
    <w:p w:rsidR="007D1A9F" w:rsidRPr="007B7A66" w:rsidRDefault="007D1A9F">
      <w:pPr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7D1A9F" w:rsidRPr="007B7A66" w:rsidRDefault="007D1A9F">
      <w:pPr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7D1A9F" w:rsidRPr="003A34D4" w:rsidRDefault="007D1A9F" w:rsidP="00734307">
      <w:pPr>
        <w:pStyle w:val="Ttulo"/>
        <w:rPr>
          <w:rFonts w:ascii="LegacySanITCBoo" w:hAnsi="LegacySanITCBoo"/>
          <w:color w:val="000000" w:themeColor="text1"/>
          <w:sz w:val="22"/>
          <w:szCs w:val="22"/>
        </w:rPr>
      </w:pPr>
    </w:p>
    <w:p w:rsidR="00C70E50" w:rsidRPr="003A34D4" w:rsidRDefault="00C70E50" w:rsidP="00734307">
      <w:pPr>
        <w:pStyle w:val="Ttulo"/>
        <w:rPr>
          <w:rFonts w:ascii="LegacySanITCBoo" w:hAnsi="LegacySanITCBoo"/>
          <w:b/>
          <w:color w:val="000000" w:themeColor="text1"/>
          <w:sz w:val="22"/>
          <w:szCs w:val="22"/>
        </w:rPr>
      </w:pPr>
      <w:r w:rsidRPr="003A34D4">
        <w:rPr>
          <w:rFonts w:ascii="LegacySanITCBoo" w:hAnsi="LegacySanITCBoo"/>
          <w:b/>
          <w:color w:val="000000" w:themeColor="text1"/>
          <w:sz w:val="22"/>
          <w:szCs w:val="22"/>
        </w:rPr>
        <w:t xml:space="preserve">GUIÓ </w:t>
      </w:r>
      <w:r w:rsidR="00C83EE7" w:rsidRPr="003A34D4">
        <w:rPr>
          <w:rFonts w:ascii="LegacySanITCBoo" w:hAnsi="LegacySanITCBoo"/>
          <w:b/>
          <w:color w:val="000000" w:themeColor="text1"/>
          <w:sz w:val="22"/>
          <w:szCs w:val="22"/>
        </w:rPr>
        <w:t xml:space="preserve">ORIENTATIU </w:t>
      </w:r>
      <w:r w:rsidRPr="003A34D4">
        <w:rPr>
          <w:rFonts w:ascii="LegacySanITCBoo" w:hAnsi="LegacySanITCBoo"/>
          <w:b/>
          <w:color w:val="000000" w:themeColor="text1"/>
          <w:sz w:val="22"/>
          <w:szCs w:val="22"/>
        </w:rPr>
        <w:t>DIAGNOSI SOCIOECONÒMICA</w:t>
      </w:r>
      <w:r w:rsidR="00526D32" w:rsidRPr="003A34D4">
        <w:rPr>
          <w:rFonts w:ascii="LegacySanITCBoo" w:hAnsi="LegacySanITCBoo"/>
          <w:b/>
          <w:color w:val="000000" w:themeColor="text1"/>
          <w:sz w:val="22"/>
          <w:szCs w:val="22"/>
        </w:rPr>
        <w:t xml:space="preserve"> </w:t>
      </w:r>
      <w:r w:rsidRPr="003A34D4">
        <w:rPr>
          <w:rFonts w:ascii="LegacySanITCBoo" w:hAnsi="LegacySanITCBoo"/>
          <w:b/>
          <w:color w:val="000000" w:themeColor="text1"/>
          <w:sz w:val="22"/>
          <w:szCs w:val="22"/>
        </w:rPr>
        <w:t>DE LA ZONA D’ACTUACIÓ</w:t>
      </w:r>
    </w:p>
    <w:p w:rsidR="00C70E50" w:rsidRPr="007B7A66" w:rsidRDefault="007D1A9F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ind w:left="0" w:firstLine="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El territori</w:t>
      </w:r>
    </w:p>
    <w:p w:rsidR="007D1A9F" w:rsidRPr="007B7A66" w:rsidRDefault="00C70E50" w:rsidP="003A34D4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En l’àmbit de la descripció general, s’ha de contex</w:t>
      </w:r>
      <w:r w:rsidR="00526D32" w:rsidRPr="007B7A66">
        <w:rPr>
          <w:color w:val="000000" w:themeColor="text1"/>
          <w:sz w:val="24"/>
          <w:szCs w:val="24"/>
        </w:rPr>
        <w:t xml:space="preserve">tualitzar la zona d’intervenció. </w:t>
      </w:r>
      <w:r w:rsidR="00684B8A" w:rsidRPr="007B7A66">
        <w:rPr>
          <w:color w:val="000000" w:themeColor="text1"/>
          <w:sz w:val="24"/>
          <w:szCs w:val="24"/>
        </w:rPr>
        <w:t>S</w:t>
      </w:r>
      <w:r w:rsidRPr="007B7A66">
        <w:rPr>
          <w:color w:val="000000" w:themeColor="text1"/>
          <w:sz w:val="24"/>
          <w:szCs w:val="24"/>
        </w:rPr>
        <w:t>’ha d’incloure la delimitació i la d</w:t>
      </w:r>
      <w:r w:rsidR="00526D32" w:rsidRPr="007B7A66">
        <w:rPr>
          <w:color w:val="000000" w:themeColor="text1"/>
          <w:sz w:val="24"/>
          <w:szCs w:val="24"/>
        </w:rPr>
        <w:t>escripció de la zona d’actuació: localització, medi físic, infraestructures, etc.</w:t>
      </w:r>
    </w:p>
    <w:p w:rsidR="007D1A9F" w:rsidRPr="007B7A66" w:rsidRDefault="007D1A9F" w:rsidP="007D1A9F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</w:p>
    <w:p w:rsidR="00C70E50" w:rsidRPr="007B7A66" w:rsidRDefault="00526D32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ind w:left="0" w:firstLine="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La població</w:t>
      </w:r>
    </w:p>
    <w:p w:rsidR="00526D32" w:rsidRPr="007B7A66" w:rsidRDefault="00C70E50" w:rsidP="000A1329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 xml:space="preserve">Es tracta de recollir, a partir de les darreres dades del padró municipal, tot allò referent a la població del municipi i a l’estructura per edats. </w:t>
      </w:r>
      <w:r w:rsidR="00526D32" w:rsidRPr="007B7A66">
        <w:rPr>
          <w:color w:val="000000" w:themeColor="text1"/>
          <w:sz w:val="24"/>
          <w:szCs w:val="24"/>
        </w:rPr>
        <w:t>És importar recollir informació sobre la població per sexe, edat, nacionalitat.</w:t>
      </w:r>
    </w:p>
    <w:p w:rsidR="002357CF" w:rsidRPr="007B7A66" w:rsidRDefault="002357CF" w:rsidP="000A1329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Indicadors demogràfics: edat mitjana, índex reemplaçament, índex envelliment, etc.</w:t>
      </w:r>
    </w:p>
    <w:p w:rsidR="00C70E50" w:rsidRPr="007B7A66" w:rsidRDefault="002357CF" w:rsidP="000A1329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Altes i baixes del padró (moviments migratoris).</w:t>
      </w:r>
    </w:p>
    <w:p w:rsidR="007D1A9F" w:rsidRPr="007B7A66" w:rsidRDefault="007D1A9F" w:rsidP="000A1329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</w:p>
    <w:p w:rsidR="00526D32" w:rsidRPr="007B7A66" w:rsidRDefault="00526D32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Treball i ocupació</w:t>
      </w:r>
    </w:p>
    <w:p w:rsidR="003C4A9F" w:rsidRPr="007B7A66" w:rsidRDefault="002E62D6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Es tracta de recollir tota la </w:t>
      </w:r>
      <w:r w:rsidR="003C4A9F" w:rsidRPr="007B7A66">
        <w:rPr>
          <w:rFonts w:ascii="LegacySanITCBoo" w:hAnsi="LegacySanITCBoo"/>
          <w:color w:val="000000" w:themeColor="text1"/>
          <w:sz w:val="24"/>
          <w:szCs w:val="24"/>
        </w:rPr>
        <w:t>informació referent al mercat de treball:</w:t>
      </w:r>
    </w:p>
    <w:p w:rsidR="002E62D6" w:rsidRPr="007B7A66" w:rsidRDefault="002E62D6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La població activa per sexe, edat, nacionalitat.</w:t>
      </w:r>
    </w:p>
    <w:p w:rsidR="002E62D6" w:rsidRPr="007B7A66" w:rsidRDefault="002E62D6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La població ocupada per sexe, edat, nacionalitat, sector econòmic, ocupats que treballen al municipi en relació als ocupats que resideixen al municipi</w:t>
      </w:r>
      <w:r w:rsidR="003E1FC0" w:rsidRPr="007B7A66">
        <w:rPr>
          <w:rFonts w:ascii="LegacySanITCBoo" w:hAnsi="LegacySanITCBoo"/>
          <w:color w:val="000000" w:themeColor="text1"/>
          <w:sz w:val="24"/>
          <w:szCs w:val="24"/>
        </w:rPr>
        <w:t>, per règim de cotització a la seguretat social (% autònoms)</w:t>
      </w:r>
      <w:r w:rsidRPr="007B7A66">
        <w:rPr>
          <w:rFonts w:ascii="LegacySanITCBoo" w:hAnsi="LegacySanITCBoo"/>
          <w:color w:val="000000" w:themeColor="text1"/>
          <w:sz w:val="24"/>
          <w:szCs w:val="24"/>
        </w:rPr>
        <w:t>.</w:t>
      </w:r>
      <w:r w:rsidR="00C83EE7"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 Nous contractes registrats, ocupacions més contractades, tipus de contracte, tipus de jornada.</w:t>
      </w:r>
    </w:p>
    <w:p w:rsidR="002E62D6" w:rsidRPr="007B7A66" w:rsidRDefault="002E62D6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La població aturada al municipi </w:t>
      </w:r>
      <w:r w:rsidR="00C83EE7" w:rsidRPr="007B7A66">
        <w:rPr>
          <w:rFonts w:ascii="LegacySanITCBoo" w:hAnsi="LegacySanITCBoo"/>
          <w:color w:val="000000" w:themeColor="text1"/>
          <w:sz w:val="24"/>
          <w:szCs w:val="24"/>
        </w:rPr>
        <w:t>per sexe, edat i nacionalitat, nivell d’estudis, activitat econòmica</w:t>
      </w:r>
      <w:r w:rsidR="000A1329"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 darrera ocupació</w:t>
      </w:r>
      <w:r w:rsidR="00C83EE7" w:rsidRPr="007B7A66">
        <w:rPr>
          <w:rFonts w:ascii="LegacySanITCBoo" w:hAnsi="LegacySanITCBoo"/>
          <w:color w:val="000000" w:themeColor="text1"/>
          <w:sz w:val="24"/>
          <w:szCs w:val="24"/>
        </w:rPr>
        <w:t>, ocupació sol·licitada</w:t>
      </w:r>
      <w:r w:rsidR="003C4A9F" w:rsidRPr="007B7A66">
        <w:rPr>
          <w:rFonts w:ascii="LegacySanITCBoo" w:hAnsi="LegacySanITCBoo"/>
          <w:color w:val="000000" w:themeColor="text1"/>
          <w:sz w:val="24"/>
          <w:szCs w:val="24"/>
        </w:rPr>
        <w:t>, antiguitat de la demanda, els aturats de llarga durada i el seu perfil.</w:t>
      </w:r>
    </w:p>
    <w:p w:rsidR="003C4A9F" w:rsidRPr="007B7A66" w:rsidRDefault="003C4A9F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Els demandants d’ocupació (aturats i no aturats), els fixos discontinus.</w:t>
      </w:r>
    </w:p>
    <w:p w:rsidR="007D1A9F" w:rsidRPr="007B7A66" w:rsidRDefault="007D1A9F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</w:p>
    <w:p w:rsidR="00C70E50" w:rsidRPr="007B7A66" w:rsidRDefault="00C70E50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ind w:left="0" w:firstLine="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Estructura empresarial</w:t>
      </w:r>
    </w:p>
    <w:p w:rsidR="00C70E50" w:rsidRPr="007B7A66" w:rsidRDefault="00C70E50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És important conèixer el teixit empresarial del municipi a l’hora de fer un diagnòstic del mercat de treball lo</w:t>
      </w:r>
      <w:r w:rsidR="00C83EE7" w:rsidRPr="007B7A66">
        <w:rPr>
          <w:rFonts w:ascii="LegacySanITCBoo" w:hAnsi="LegacySanITCBoo"/>
          <w:color w:val="000000" w:themeColor="text1"/>
          <w:sz w:val="24"/>
          <w:szCs w:val="24"/>
        </w:rPr>
        <w:t>cal: nombre d’empreses d’alta a la seguretat social, altes i baixes, per sectors econòmics, per nombre de treballadors, etc.</w:t>
      </w:r>
    </w:p>
    <w:p w:rsidR="00C70E50" w:rsidRPr="007B7A66" w:rsidRDefault="003C4A9F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Altra informació complementària: associacions empresarials, polígons industrials, etc.</w:t>
      </w:r>
    </w:p>
    <w:p w:rsidR="007D1A9F" w:rsidRPr="007B7A66" w:rsidRDefault="007D1A9F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</w:p>
    <w:p w:rsidR="007D1A9F" w:rsidRPr="007B7A66" w:rsidRDefault="007D1A9F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</w:p>
    <w:p w:rsidR="007D1A9F" w:rsidRPr="007B7A66" w:rsidRDefault="007D1A9F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</w:p>
    <w:p w:rsidR="007D1A9F" w:rsidRPr="007B7A66" w:rsidRDefault="007D1A9F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</w:p>
    <w:p w:rsidR="007D1A9F" w:rsidRPr="007B7A66" w:rsidRDefault="007D1A9F" w:rsidP="000A1329">
      <w:pPr>
        <w:spacing w:before="120" w:after="120" w:line="240" w:lineRule="auto"/>
        <w:rPr>
          <w:rFonts w:ascii="LegacySanITCBoo" w:hAnsi="LegacySanITCBoo"/>
          <w:color w:val="000000" w:themeColor="text1"/>
          <w:sz w:val="24"/>
          <w:szCs w:val="24"/>
        </w:rPr>
      </w:pPr>
    </w:p>
    <w:p w:rsidR="002357CF" w:rsidRPr="007B7A66" w:rsidRDefault="002357CF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ind w:left="0" w:firstLine="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Polítiques actives d’ocupació</w:t>
      </w:r>
    </w:p>
    <w:p w:rsidR="007D1A9F" w:rsidRPr="007B7A66" w:rsidRDefault="002357CF" w:rsidP="000A1329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Consisteix a fer un breu repàs de les polítiques que s’han dut a terme en el municipi referents a orientació, intermediació i col·locació, formació, promoció i creació d’ocupació, descripció i anàlisi de la seva pertinença en funció de la població destinatària, perspectives de futur...</w:t>
      </w:r>
    </w:p>
    <w:p w:rsidR="002357CF" w:rsidRPr="007B7A66" w:rsidRDefault="002357CF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D’altra banda, si el municipi és signant d’algun Pacte Local d’Ocupació s’hi hauria de fer referència i explicar-ne els principals eixos i objectius.</w:t>
      </w:r>
    </w:p>
    <w:p w:rsidR="007D1A9F" w:rsidRPr="007B7A66" w:rsidRDefault="007D1A9F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</w:p>
    <w:p w:rsidR="002357CF" w:rsidRPr="007B7A66" w:rsidRDefault="002357CF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ind w:left="0" w:firstLine="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Altres indicadors qualitatius</w:t>
      </w:r>
    </w:p>
    <w:p w:rsidR="002357CF" w:rsidRPr="007B7A66" w:rsidRDefault="002357CF" w:rsidP="000A1329">
      <w:pPr>
        <w:pStyle w:val="Encabezado"/>
        <w:tabs>
          <w:tab w:val="clear" w:pos="4252"/>
          <w:tab w:val="clear" w:pos="8504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Per acabar de caracteritzar l’activitat i l’ocupació es poden ampliar les dades estadístiques aportades amb altres indicadors de tipus més qualitatiu que es poden haver recopilat al municipi a través de treball de camp, grups de discussió, fòrums de ciutadans, etcètera. Alguns exemples serien els següents:</w:t>
      </w:r>
    </w:p>
    <w:p w:rsidR="002357CF" w:rsidRPr="007B7A66" w:rsidRDefault="002357CF" w:rsidP="000A1329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num" w:pos="720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Vies d’entrada a l’activitat i/o ocupació.</w:t>
      </w:r>
    </w:p>
    <w:p w:rsidR="002357CF" w:rsidRPr="007B7A66" w:rsidRDefault="002357CF" w:rsidP="000A1329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num" w:pos="720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Característiques de les treballadores i dels treballadors més valorades en les empreses per a cada segment.</w:t>
      </w:r>
    </w:p>
    <w:p w:rsidR="002357CF" w:rsidRPr="007B7A66" w:rsidRDefault="002357CF" w:rsidP="000A1329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num" w:pos="720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Ocupacions i perfils professionals en expansió.</w:t>
      </w:r>
    </w:p>
    <w:p w:rsidR="00C25ACB" w:rsidRPr="007B7A66" w:rsidRDefault="002357CF" w:rsidP="00C25ACB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num" w:pos="720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Necessitats formatives.</w:t>
      </w:r>
    </w:p>
    <w:p w:rsidR="002357CF" w:rsidRPr="007B7A66" w:rsidRDefault="002357CF" w:rsidP="000A1329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num" w:pos="720"/>
        </w:tabs>
        <w:spacing w:before="120" w:after="120"/>
        <w:rPr>
          <w:color w:val="000000" w:themeColor="text1"/>
          <w:sz w:val="24"/>
          <w:szCs w:val="24"/>
        </w:rPr>
      </w:pPr>
      <w:r w:rsidRPr="007B7A66">
        <w:rPr>
          <w:color w:val="000000" w:themeColor="text1"/>
          <w:sz w:val="24"/>
          <w:szCs w:val="24"/>
        </w:rPr>
        <w:t>Condicions laborals de les ocupacions.</w:t>
      </w:r>
    </w:p>
    <w:p w:rsidR="007D1A9F" w:rsidRPr="007B7A66" w:rsidRDefault="007D1A9F" w:rsidP="007D1A9F">
      <w:pPr>
        <w:pStyle w:val="Encabezado"/>
        <w:tabs>
          <w:tab w:val="clear" w:pos="4252"/>
          <w:tab w:val="clear" w:pos="8504"/>
        </w:tabs>
        <w:spacing w:before="120" w:after="120"/>
        <w:ind w:left="360"/>
        <w:rPr>
          <w:color w:val="000000" w:themeColor="text1"/>
          <w:sz w:val="24"/>
          <w:szCs w:val="24"/>
        </w:rPr>
      </w:pPr>
    </w:p>
    <w:p w:rsidR="002357CF" w:rsidRPr="007B7A66" w:rsidRDefault="002357CF" w:rsidP="003A34D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/>
        <w:ind w:left="0" w:firstLine="0"/>
        <w:rPr>
          <w:b/>
          <w:color w:val="000000" w:themeColor="text1"/>
          <w:sz w:val="24"/>
          <w:szCs w:val="24"/>
        </w:rPr>
      </w:pPr>
      <w:r w:rsidRPr="007B7A66">
        <w:rPr>
          <w:b/>
          <w:color w:val="000000" w:themeColor="text1"/>
          <w:sz w:val="24"/>
          <w:szCs w:val="24"/>
        </w:rPr>
        <w:t>Conclusions</w:t>
      </w:r>
    </w:p>
    <w:p w:rsidR="002357CF" w:rsidRPr="007B7A66" w:rsidRDefault="002357CF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Una proposta de presentació de conclusions pot ser una anàlisi DAFO, en què de manera esquemàtica i sintètica s’indiquen els punts forts i els dèbils del diagnòstic efectuat</w:t>
      </w:r>
    </w:p>
    <w:p w:rsidR="002357CF" w:rsidRPr="007B7A66" w:rsidRDefault="002357CF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L’anàlisi DAFO consisteix en la construcció d’una matriu que organitza la informació en quatre categories: debilitats (elements negatius interns), amenaces externes, fortaleses (elements positius interns) i oportunitats externes, amb relació a allò que estem analitzant.</w:t>
      </w:r>
    </w:p>
    <w:p w:rsidR="002357CF" w:rsidRPr="007B7A66" w:rsidRDefault="002357CF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La matriu DAFO ens permet primerament de tamisar la informació rellevant. I, també, presentar-la en un format adequat que permeti, efectivament, conèixer les variables que afecten allò sobre que volem actuar. Per tant, l’anàlisi DAFO es especialment útil per al disseny d’estratègies.</w:t>
      </w:r>
    </w:p>
    <w:p w:rsidR="002357CF" w:rsidRPr="007B7A66" w:rsidRDefault="002357CF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És freqüent que en un pla estratègic s’utilitzi no solament una matriu DAFO general sinó que se’n realitzin per als principals àmbits objecte d’anàlisi.</w:t>
      </w:r>
    </w:p>
    <w:p w:rsidR="007D1A9F" w:rsidRPr="007B7A66" w:rsidRDefault="007D1A9F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7D1A9F" w:rsidRPr="007B7A66" w:rsidRDefault="007D1A9F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491811" w:rsidRPr="007B7A66" w:rsidRDefault="00491811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491811" w:rsidRPr="007B7A66" w:rsidRDefault="00491811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</w:p>
    <w:p w:rsidR="002357CF" w:rsidRPr="007B7A66" w:rsidRDefault="002357CF" w:rsidP="000A13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</w:pPr>
      <w:r w:rsidRPr="007B7A66">
        <w:rPr>
          <w:rFonts w:ascii="LegacySanITCBoo" w:eastAsia="HelveticaNeueLTStd-Roman" w:hAnsi="LegacySanITCBoo" w:cs="HelveticaNeueLTStd-Roman"/>
          <w:color w:val="000000" w:themeColor="text1"/>
          <w:sz w:val="24"/>
          <w:szCs w:val="24"/>
        </w:rPr>
        <w:t>Per altra part, a escala global aquesta metodologia ens permet també avaluar el posicionament d’un territori o sistema a partir de la ponderació o pes de cada un dels elements.</w:t>
      </w:r>
    </w:p>
    <w:p w:rsidR="00417345" w:rsidRPr="007B7A66" w:rsidRDefault="002357CF" w:rsidP="000A1329">
      <w:pPr>
        <w:spacing w:before="120" w:after="120" w:line="240" w:lineRule="auto"/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Un exemple d’aquest tipus d’anàlisi podria ser el següent: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17345" w:rsidRPr="007B7A66" w:rsidTr="00417345">
        <w:tc>
          <w:tcPr>
            <w:tcW w:w="4322" w:type="dxa"/>
            <w:shd w:val="pct12" w:color="auto" w:fill="auto"/>
          </w:tcPr>
          <w:p w:rsidR="00417345" w:rsidRPr="007B7A66" w:rsidRDefault="00417345" w:rsidP="00417345">
            <w:pPr>
              <w:spacing w:before="120" w:after="120"/>
              <w:jc w:val="center"/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  <w:t>FORTALESES</w:t>
            </w:r>
          </w:p>
        </w:tc>
        <w:tc>
          <w:tcPr>
            <w:tcW w:w="4322" w:type="dxa"/>
            <w:shd w:val="pct12" w:color="auto" w:fill="auto"/>
          </w:tcPr>
          <w:p w:rsidR="00417345" w:rsidRPr="007B7A66" w:rsidRDefault="00417345" w:rsidP="00417345">
            <w:pPr>
              <w:spacing w:before="120" w:after="120"/>
              <w:jc w:val="center"/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  <w:t>DEBILITATS</w:t>
            </w:r>
          </w:p>
        </w:tc>
      </w:tr>
      <w:tr w:rsidR="00417345" w:rsidRPr="007B7A66" w:rsidTr="00417345">
        <w:tc>
          <w:tcPr>
            <w:tcW w:w="4322" w:type="dxa"/>
            <w:tcBorders>
              <w:bottom w:val="single" w:sz="4" w:space="0" w:color="000000" w:themeColor="text1"/>
            </w:tcBorders>
          </w:tcPr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Poca incidència de l’atur de llarga durada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Diversificació de l’atur en més activitats econòmiques que la mitjana balear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</w:tcPr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Alta incidència d’atur femení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Important percentatge d’atur juvenil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Baix nivell formatiu de la població aturada, especialment entre el col·lectiu juvenil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Poca qualificació professional dels demandants aturats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 xml:space="preserve">Forta concentració de dones atura des majors de 55 anys en peons de les indústries manufactureres </w:t>
            </w:r>
          </w:p>
        </w:tc>
      </w:tr>
      <w:tr w:rsidR="00417345" w:rsidRPr="007B7A66" w:rsidTr="00417345">
        <w:tc>
          <w:tcPr>
            <w:tcW w:w="4322" w:type="dxa"/>
            <w:shd w:val="pct12" w:color="auto" w:fill="auto"/>
          </w:tcPr>
          <w:p w:rsidR="00417345" w:rsidRPr="007B7A66" w:rsidRDefault="00417345" w:rsidP="00417345">
            <w:pPr>
              <w:spacing w:before="120" w:after="120"/>
              <w:jc w:val="center"/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  <w:t>OPORTUNITATS</w:t>
            </w:r>
          </w:p>
        </w:tc>
        <w:tc>
          <w:tcPr>
            <w:tcW w:w="4322" w:type="dxa"/>
            <w:shd w:val="pct12" w:color="auto" w:fill="auto"/>
          </w:tcPr>
          <w:p w:rsidR="00417345" w:rsidRPr="007B7A66" w:rsidRDefault="00417345" w:rsidP="00417345">
            <w:pPr>
              <w:spacing w:before="120" w:after="120"/>
              <w:jc w:val="center"/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b/>
                <w:color w:val="000000" w:themeColor="text1"/>
                <w:sz w:val="20"/>
                <w:szCs w:val="20"/>
              </w:rPr>
              <w:t>AMENACES</w:t>
            </w:r>
          </w:p>
        </w:tc>
      </w:tr>
      <w:tr w:rsidR="00417345" w:rsidRPr="007B7A66" w:rsidTr="00417345">
        <w:tc>
          <w:tcPr>
            <w:tcW w:w="4322" w:type="dxa"/>
          </w:tcPr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Facilita</w:t>
            </w:r>
            <w:r w:rsidR="00491811"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t</w:t>
            </w: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 xml:space="preserve"> d’entrada al mercat de treball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Inversió a nivell formatiu i de qualificació de les ocupacions vinculades a la indústria manufacturera i el comerç, activitats capdavanteres a la zona</w:t>
            </w:r>
          </w:p>
        </w:tc>
        <w:tc>
          <w:tcPr>
            <w:tcW w:w="4322" w:type="dxa"/>
          </w:tcPr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Precarietat laboral del col·lectiu jove donat el baix nivell formatiu</w:t>
            </w:r>
          </w:p>
          <w:p w:rsidR="00417345" w:rsidRPr="007B7A66" w:rsidRDefault="00417345" w:rsidP="00417345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rFonts w:ascii="LegacySanITCBoo" w:hAnsi="LegacySanITCBoo"/>
                <w:color w:val="000000" w:themeColor="text1"/>
                <w:sz w:val="20"/>
                <w:szCs w:val="20"/>
              </w:rPr>
            </w:pPr>
            <w:r w:rsidRPr="007B7A66">
              <w:rPr>
                <w:rFonts w:ascii="LegacySanITCBoo" w:hAnsi="LegacySanITCBoo"/>
                <w:color w:val="000000" w:themeColor="text1"/>
                <w:sz w:val="20"/>
                <w:szCs w:val="20"/>
              </w:rPr>
              <w:t>Dificultades de reinserció laboral del col·lectiu d’aturats majors de 55 anys</w:t>
            </w:r>
          </w:p>
        </w:tc>
      </w:tr>
    </w:tbl>
    <w:p w:rsidR="00C25ACB" w:rsidRPr="007B7A66" w:rsidRDefault="00C25ACB" w:rsidP="002C60D6">
      <w:pPr>
        <w:pStyle w:val="Ttulo"/>
        <w:rPr>
          <w:rFonts w:ascii="LegacySanITCBoo" w:hAnsi="LegacySanITCBoo"/>
          <w:color w:val="000000" w:themeColor="text1"/>
          <w:sz w:val="24"/>
          <w:szCs w:val="24"/>
        </w:rPr>
      </w:pPr>
    </w:p>
    <w:p w:rsidR="003C4A9F" w:rsidRPr="003A34D4" w:rsidRDefault="00C25ACB" w:rsidP="002C60D6">
      <w:pPr>
        <w:pStyle w:val="Ttulo"/>
        <w:rPr>
          <w:rFonts w:ascii="LegacySanITCBoo" w:hAnsi="LegacySanITCBoo"/>
          <w:b/>
          <w:color w:val="000000" w:themeColor="text1"/>
          <w:sz w:val="22"/>
          <w:szCs w:val="22"/>
        </w:rPr>
      </w:pPr>
      <w:r w:rsidRPr="003A34D4">
        <w:rPr>
          <w:rFonts w:ascii="LegacySanITCBoo" w:hAnsi="LegacySanITCBoo"/>
          <w:b/>
          <w:color w:val="000000" w:themeColor="text1"/>
          <w:sz w:val="22"/>
          <w:szCs w:val="22"/>
        </w:rPr>
        <w:t>FONTS D’INFORMACIÓ</w:t>
      </w:r>
    </w:p>
    <w:p w:rsidR="00C70E50" w:rsidRPr="007B7A66" w:rsidRDefault="00C70E50" w:rsidP="003E1FC0">
      <w:pPr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Els indicadors municipals (mitjanes anuals) de </w:t>
      </w:r>
      <w:r w:rsidRPr="007B7A66">
        <w:rPr>
          <w:rFonts w:ascii="LegacySanITCBoo" w:hAnsi="LegacySanITCBoo"/>
          <w:b/>
          <w:color w:val="000000" w:themeColor="text1"/>
          <w:sz w:val="24"/>
          <w:szCs w:val="24"/>
        </w:rPr>
        <w:t>l’Observatori del Treball de les Illes Balears</w:t>
      </w:r>
      <w:r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 intenten sintetitzar els principals indicadors de mercat de treball en l’àmbit municipal sempre contextualitzant el municipi amb la seva illa i el conjunt de les Illes.</w:t>
      </w:r>
    </w:p>
    <w:p w:rsidR="00491811" w:rsidRPr="007B7A66" w:rsidRDefault="00C70E50" w:rsidP="00491811">
      <w:pPr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D’altra banda, les fitxes municipals ofereixen, mensualment, informació de la població ocupada i aturada (per sexe i edat, nivell d’estudis, sector d’activitat i grup professional).</w:t>
      </w:r>
    </w:p>
    <w:p w:rsidR="00C70E50" w:rsidRPr="007B7A66" w:rsidRDefault="00C70E50" w:rsidP="00491811">
      <w:pPr>
        <w:jc w:val="both"/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>Totes aquestes dades es poden trobar a la pàgina web de l’Observatori:</w:t>
      </w:r>
    </w:p>
    <w:p w:rsidR="003A34D4" w:rsidRPr="003A34D4" w:rsidRDefault="003B4825" w:rsidP="000A1329">
      <w:pPr>
        <w:jc w:val="both"/>
        <w:rPr>
          <w:color w:val="000000" w:themeColor="text1"/>
        </w:rPr>
      </w:pPr>
      <w:hyperlink r:id="rId7" w:history="1">
        <w:r w:rsidR="000A1329" w:rsidRPr="007B7A66">
          <w:rPr>
            <w:rStyle w:val="Hipervnculo"/>
            <w:rFonts w:ascii="LegacySanITCBoo" w:hAnsi="LegacySanITCBoo"/>
            <w:color w:val="000000" w:themeColor="text1"/>
            <w:sz w:val="24"/>
            <w:szCs w:val="24"/>
          </w:rPr>
          <w:t>http://www.caib.es/sacmicrofront/contenido.do?mkey=M08100212155817041390&amp;lang=CA&amp;cont=10648</w:t>
        </w:r>
      </w:hyperlink>
    </w:p>
    <w:p w:rsidR="000A1329" w:rsidRPr="007B7A66" w:rsidRDefault="000A1329" w:rsidP="000A1329">
      <w:pPr>
        <w:rPr>
          <w:rFonts w:ascii="LegacySanITCBoo" w:hAnsi="LegacySanITCBoo"/>
          <w:color w:val="000000" w:themeColor="text1"/>
          <w:sz w:val="24"/>
          <w:szCs w:val="24"/>
        </w:rPr>
      </w:pPr>
      <w:r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Municipi en xifres de </w:t>
      </w:r>
      <w:r w:rsidRPr="007B7A66">
        <w:rPr>
          <w:rFonts w:ascii="LegacySanITCBoo" w:hAnsi="LegacySanITCBoo"/>
          <w:b/>
          <w:color w:val="000000" w:themeColor="text1"/>
          <w:sz w:val="24"/>
          <w:szCs w:val="24"/>
        </w:rPr>
        <w:t>l’</w:t>
      </w:r>
      <w:r w:rsidR="00881D20" w:rsidRPr="007B7A66">
        <w:rPr>
          <w:rFonts w:ascii="LegacySanITCBoo" w:hAnsi="LegacySanITCBoo"/>
          <w:b/>
          <w:color w:val="000000" w:themeColor="text1"/>
          <w:sz w:val="24"/>
          <w:szCs w:val="24"/>
        </w:rPr>
        <w:t>Institut d’Estadística de les Illes Balears (</w:t>
      </w:r>
      <w:r w:rsidRPr="007B7A66">
        <w:rPr>
          <w:rFonts w:ascii="LegacySanITCBoo" w:hAnsi="LegacySanITCBoo"/>
          <w:b/>
          <w:color w:val="000000" w:themeColor="text1"/>
          <w:sz w:val="24"/>
          <w:szCs w:val="24"/>
        </w:rPr>
        <w:t>Ibestat</w:t>
      </w:r>
      <w:r w:rsidR="00881D20" w:rsidRPr="007B7A66">
        <w:rPr>
          <w:rFonts w:ascii="LegacySanITCBoo" w:hAnsi="LegacySanITCBoo"/>
          <w:b/>
          <w:color w:val="000000" w:themeColor="text1"/>
          <w:sz w:val="24"/>
          <w:szCs w:val="24"/>
        </w:rPr>
        <w:t>)</w:t>
      </w:r>
      <w:r w:rsidRPr="007B7A66">
        <w:rPr>
          <w:rFonts w:ascii="LegacySanITCBoo" w:hAnsi="LegacySanITCBoo"/>
          <w:color w:val="000000" w:themeColor="text1"/>
          <w:sz w:val="24"/>
          <w:szCs w:val="24"/>
        </w:rPr>
        <w:t xml:space="preserve">. </w:t>
      </w:r>
      <w:hyperlink r:id="rId8" w:history="1">
        <w:r w:rsidRPr="007B7A66">
          <w:rPr>
            <w:rStyle w:val="Hipervnculo"/>
            <w:rFonts w:ascii="LegacySanITCBoo" w:hAnsi="LegacySanITCBoo"/>
            <w:color w:val="000000" w:themeColor="text1"/>
            <w:sz w:val="24"/>
            <w:szCs w:val="24"/>
          </w:rPr>
          <w:t>http://www.ibestat.cat/ibestat/estadistiques/municipis-xifres</w:t>
        </w:r>
      </w:hyperlink>
    </w:p>
    <w:sectPr w:rsidR="000A1329" w:rsidRPr="007B7A66" w:rsidSect="00F93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66" w:rsidRDefault="007B7A66" w:rsidP="00C25ACB">
      <w:pPr>
        <w:spacing w:after="0" w:line="240" w:lineRule="auto"/>
      </w:pPr>
      <w:r>
        <w:separator/>
      </w:r>
    </w:p>
  </w:endnote>
  <w:endnote w:type="continuationSeparator" w:id="0">
    <w:p w:rsidR="007B7A66" w:rsidRDefault="007B7A66" w:rsidP="00C2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3" w:rsidRDefault="00D609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6" w:rsidRDefault="007B7A66">
    <w:pPr>
      <w:pStyle w:val="Piedepgina"/>
      <w:jc w:val="right"/>
    </w:pPr>
  </w:p>
  <w:sdt>
    <w:sdtPr>
      <w:id w:val="19293784"/>
      <w:docPartObj>
        <w:docPartGallery w:val="Page Numbers (Bottom of Page)"/>
        <w:docPartUnique/>
      </w:docPartObj>
    </w:sdtPr>
    <w:sdtContent>
      <w:p w:rsidR="007B7A66" w:rsidRDefault="007B7A66" w:rsidP="00017AF0">
        <w:pPr>
          <w:pStyle w:val="Piedepgina"/>
          <w:jc w:val="right"/>
        </w:pPr>
        <w:r>
          <w:t>_____________________________________________________________________________</w:t>
        </w:r>
      </w:p>
      <w:p w:rsidR="007B7A66" w:rsidRDefault="007B7A66" w:rsidP="00017AF0">
        <w:pPr>
          <w:pStyle w:val="Piedepgina"/>
          <w:jc w:val="right"/>
        </w:pPr>
        <w:r w:rsidRPr="009641F4">
          <w:rPr>
            <w:rFonts w:ascii="LegacySanITCBoo" w:hAnsi="LegacySanITCBoo"/>
            <w:i/>
            <w:sz w:val="20"/>
            <w:szCs w:val="20"/>
          </w:rPr>
          <w:t xml:space="preserve"> </w:t>
        </w:r>
        <w:r>
          <w:rPr>
            <w:rFonts w:ascii="LegacySanITCBoo" w:hAnsi="LegacySanITCBoo"/>
            <w:i/>
            <w:sz w:val="20"/>
            <w:szCs w:val="20"/>
          </w:rPr>
          <w:t xml:space="preserve">T3. </w:t>
        </w:r>
        <w:r w:rsidRPr="009641F4">
          <w:rPr>
            <w:rFonts w:ascii="LegacySanITCBoo" w:hAnsi="LegacySanITCBoo"/>
            <w:i/>
            <w:sz w:val="20"/>
            <w:szCs w:val="20"/>
          </w:rPr>
          <w:t xml:space="preserve">Guió diagnosi socioeconòmica desenvolupament local                </w:t>
        </w:r>
        <w:r>
          <w:rPr>
            <w:rFonts w:ascii="LegacySanITCBoo" w:hAnsi="LegacySanITCBoo"/>
            <w:i/>
            <w:sz w:val="20"/>
            <w:szCs w:val="20"/>
          </w:rPr>
          <w:t xml:space="preserve">                  </w:t>
        </w:r>
        <w:r w:rsidRPr="009641F4">
          <w:rPr>
            <w:rFonts w:ascii="LegacySanITCBoo" w:hAnsi="LegacySanITCBoo"/>
            <w:i/>
            <w:sz w:val="20"/>
            <w:szCs w:val="20"/>
          </w:rPr>
          <w:t xml:space="preserve">                                                             </w:t>
        </w:r>
        <w:r w:rsidR="003B4825" w:rsidRPr="00134E4F">
          <w:rPr>
            <w:rFonts w:ascii="LegacySanITCBoo" w:hAnsi="LegacySanITCBoo"/>
            <w:sz w:val="20"/>
            <w:szCs w:val="20"/>
          </w:rPr>
          <w:fldChar w:fldCharType="begin"/>
        </w:r>
        <w:r w:rsidRPr="00134E4F">
          <w:rPr>
            <w:rFonts w:ascii="LegacySanITCBoo" w:hAnsi="LegacySanITCBoo"/>
            <w:sz w:val="20"/>
            <w:szCs w:val="20"/>
          </w:rPr>
          <w:instrText xml:space="preserve"> PAGE   \* MERGEFORMAT </w:instrText>
        </w:r>
        <w:r w:rsidR="003B4825" w:rsidRPr="00134E4F">
          <w:rPr>
            <w:rFonts w:ascii="LegacySanITCBoo" w:hAnsi="LegacySanITCBoo"/>
            <w:sz w:val="20"/>
            <w:szCs w:val="20"/>
          </w:rPr>
          <w:fldChar w:fldCharType="separate"/>
        </w:r>
        <w:r w:rsidR="007C490F">
          <w:rPr>
            <w:rFonts w:ascii="LegacySanITCBoo" w:hAnsi="LegacySanITCBoo"/>
            <w:noProof/>
            <w:sz w:val="20"/>
            <w:szCs w:val="20"/>
          </w:rPr>
          <w:t>2</w:t>
        </w:r>
        <w:r w:rsidR="003B4825" w:rsidRPr="00134E4F">
          <w:rPr>
            <w:rFonts w:ascii="LegacySanITCBoo" w:hAnsi="LegacySanITCBoo"/>
            <w:sz w:val="20"/>
            <w:szCs w:val="20"/>
          </w:rPr>
          <w:fldChar w:fldCharType="end"/>
        </w:r>
      </w:p>
    </w:sdtContent>
  </w:sdt>
  <w:p w:rsidR="007B7A66" w:rsidRPr="00B50DD3" w:rsidRDefault="007B7A66" w:rsidP="00017AF0">
    <w:pPr>
      <w:pStyle w:val="Piedepgina"/>
      <w:rPr>
        <w:rFonts w:ascii="LegacySanITCBoo" w:hAnsi="LegacySanITCBoo"/>
        <w:i/>
        <w:sz w:val="20"/>
        <w:szCs w:val="20"/>
      </w:rPr>
    </w:pPr>
  </w:p>
  <w:p w:rsidR="007B7A66" w:rsidRDefault="007B7A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3" w:rsidRDefault="00D609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66" w:rsidRDefault="007B7A66" w:rsidP="00C25ACB">
      <w:pPr>
        <w:spacing w:after="0" w:line="240" w:lineRule="auto"/>
      </w:pPr>
      <w:r>
        <w:separator/>
      </w:r>
    </w:p>
  </w:footnote>
  <w:footnote w:type="continuationSeparator" w:id="0">
    <w:p w:rsidR="007B7A66" w:rsidRDefault="007B7A66" w:rsidP="00C2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3" w:rsidRDefault="00D609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6" w:rsidRDefault="00D609B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106045</wp:posOffset>
          </wp:positionV>
          <wp:extent cx="690880" cy="652780"/>
          <wp:effectExtent l="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A66" w:rsidRPr="00556779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-318770</wp:posOffset>
          </wp:positionV>
          <wp:extent cx="1917700" cy="619125"/>
          <wp:effectExtent l="19050" t="0" r="6350" b="0"/>
          <wp:wrapSquare wrapText="bothSides"/>
          <wp:docPr id="3" name="Imagen 1" descr="MINISTERIO_SPE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_SPEE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3" w:rsidRDefault="00D609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B8B"/>
    <w:multiLevelType w:val="hybridMultilevel"/>
    <w:tmpl w:val="F500C222"/>
    <w:lvl w:ilvl="0" w:tplc="2828D17A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4"/>
    <w:multiLevelType w:val="multilevel"/>
    <w:tmpl w:val="C61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8E5117"/>
    <w:multiLevelType w:val="hybridMultilevel"/>
    <w:tmpl w:val="C6EE30AE"/>
    <w:lvl w:ilvl="0" w:tplc="10EA45A2">
      <w:start w:val="3"/>
      <w:numFmt w:val="bullet"/>
      <w:lvlText w:val="-"/>
      <w:lvlJc w:val="left"/>
      <w:pPr>
        <w:ind w:left="720" w:hanging="360"/>
      </w:pPr>
      <w:rPr>
        <w:rFonts w:ascii="LegacySanITCBoo" w:eastAsiaTheme="minorHAnsi" w:hAnsi="LegacySanITCBoo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57395"/>
    <w:multiLevelType w:val="singleLevel"/>
    <w:tmpl w:val="FAE614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773E1"/>
    <w:rsid w:val="00017AF0"/>
    <w:rsid w:val="00062583"/>
    <w:rsid w:val="000A1329"/>
    <w:rsid w:val="000F5322"/>
    <w:rsid w:val="001B5F4A"/>
    <w:rsid w:val="002357CF"/>
    <w:rsid w:val="0025446C"/>
    <w:rsid w:val="002C60D6"/>
    <w:rsid w:val="002E62D6"/>
    <w:rsid w:val="003A34D4"/>
    <w:rsid w:val="003B4825"/>
    <w:rsid w:val="003C2AF9"/>
    <w:rsid w:val="003C4A9F"/>
    <w:rsid w:val="003E1FC0"/>
    <w:rsid w:val="00417345"/>
    <w:rsid w:val="00457DA1"/>
    <w:rsid w:val="004621E6"/>
    <w:rsid w:val="00491811"/>
    <w:rsid w:val="00495560"/>
    <w:rsid w:val="00526D32"/>
    <w:rsid w:val="00556779"/>
    <w:rsid w:val="005735E1"/>
    <w:rsid w:val="00684B8A"/>
    <w:rsid w:val="00693F52"/>
    <w:rsid w:val="006C72D1"/>
    <w:rsid w:val="00701575"/>
    <w:rsid w:val="00734307"/>
    <w:rsid w:val="007B7A66"/>
    <w:rsid w:val="007C04C3"/>
    <w:rsid w:val="007C490F"/>
    <w:rsid w:val="007D1A9F"/>
    <w:rsid w:val="0085727D"/>
    <w:rsid w:val="008773E1"/>
    <w:rsid w:val="00881D20"/>
    <w:rsid w:val="009641F4"/>
    <w:rsid w:val="00977BD3"/>
    <w:rsid w:val="00AC7554"/>
    <w:rsid w:val="00AF07BA"/>
    <w:rsid w:val="00B03ABF"/>
    <w:rsid w:val="00B351B1"/>
    <w:rsid w:val="00BD0D8D"/>
    <w:rsid w:val="00BF5044"/>
    <w:rsid w:val="00BF7510"/>
    <w:rsid w:val="00C25ACB"/>
    <w:rsid w:val="00C70E50"/>
    <w:rsid w:val="00C83EE7"/>
    <w:rsid w:val="00C87F3D"/>
    <w:rsid w:val="00CB5165"/>
    <w:rsid w:val="00D05C03"/>
    <w:rsid w:val="00D322FB"/>
    <w:rsid w:val="00D609B3"/>
    <w:rsid w:val="00DA4ECA"/>
    <w:rsid w:val="00DC4B4A"/>
    <w:rsid w:val="00E24E2F"/>
    <w:rsid w:val="00E4507F"/>
    <w:rsid w:val="00E46E4F"/>
    <w:rsid w:val="00EE7FCC"/>
    <w:rsid w:val="00F402FF"/>
    <w:rsid w:val="00F8187B"/>
    <w:rsid w:val="00F9294C"/>
    <w:rsid w:val="00F9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E50"/>
    <w:pPr>
      <w:tabs>
        <w:tab w:val="center" w:pos="4252"/>
        <w:tab w:val="right" w:pos="8504"/>
      </w:tabs>
      <w:spacing w:after="0" w:line="240" w:lineRule="auto"/>
      <w:jc w:val="both"/>
    </w:pPr>
    <w:rPr>
      <w:rFonts w:ascii="LegacySanITCBoo" w:eastAsia="Times New Roman" w:hAnsi="LegacySanITCBoo" w:cs="Times New Roman"/>
      <w:sz w:val="26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70E50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basedOn w:val="Fuentedeprrafopredeter"/>
    <w:rsid w:val="00C70E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E50"/>
    <w:rPr>
      <w:rFonts w:ascii="Tahoma" w:hAnsi="Tahoma" w:cs="Tahoma"/>
      <w:sz w:val="16"/>
      <w:szCs w:val="16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2C6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6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25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ACB"/>
    <w:rPr>
      <w:lang w:val="ca-ES"/>
    </w:rPr>
  </w:style>
  <w:style w:type="paragraph" w:styleId="Prrafodelista">
    <w:name w:val="List Paragraph"/>
    <w:basedOn w:val="Normal"/>
    <w:uiPriority w:val="34"/>
    <w:qFormat/>
    <w:rsid w:val="007D1A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stat.cat/ibestat/estadistiques/municipis-xifr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ib.es/sacmicrofront/contenido.do?mkey=M08100212155817041390&amp;lang=CA&amp;cont=106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u80894</dc:creator>
  <cp:lastModifiedBy>u83190</cp:lastModifiedBy>
  <cp:revision>20</cp:revision>
  <cp:lastPrinted>2017-01-10T11:29:00Z</cp:lastPrinted>
  <dcterms:created xsi:type="dcterms:W3CDTF">2017-01-10T12:39:00Z</dcterms:created>
  <dcterms:modified xsi:type="dcterms:W3CDTF">2018-03-02T11:18:00Z</dcterms:modified>
</cp:coreProperties>
</file>