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BF" w:rsidRPr="002E3A87" w:rsidRDefault="00E174D3" w:rsidP="0059285C">
      <w:pPr>
        <w:spacing w:after="160" w:line="259" w:lineRule="auto"/>
        <w:jc w:val="left"/>
        <w:rPr>
          <w:rFonts w:ascii="Noto Sans" w:hAnsi="Noto Sans" w:cs="Noto Sans"/>
          <w:b/>
          <w:sz w:val="22"/>
          <w:szCs w:val="22"/>
        </w:rPr>
      </w:pPr>
      <w:bookmarkStart w:id="0" w:name="_Hlk504512332"/>
      <w:bookmarkStart w:id="1" w:name="_Hlk504432927"/>
      <w:r w:rsidRPr="002E3A87">
        <w:rPr>
          <w:rFonts w:ascii="Noto Sans" w:hAnsi="Noto Sans" w:cs="Noto Sans"/>
          <w:b/>
          <w:sz w:val="22"/>
          <w:szCs w:val="22"/>
        </w:rPr>
        <w:t>Annex 17</w:t>
      </w:r>
      <w:r w:rsidR="00A948BF" w:rsidRPr="002E3A87">
        <w:rPr>
          <w:rFonts w:ascii="Noto Sans" w:hAnsi="Noto Sans" w:cs="Noto Sans"/>
          <w:b/>
          <w:sz w:val="22"/>
          <w:szCs w:val="22"/>
        </w:rPr>
        <w:t xml:space="preserve">. </w:t>
      </w:r>
      <w:r w:rsidR="00A948BF" w:rsidRPr="002E3A87">
        <w:rPr>
          <w:rFonts w:ascii="Noto Sans" w:hAnsi="Noto Sans" w:cs="Noto Sans"/>
          <w:b/>
          <w:bCs/>
          <w:sz w:val="22"/>
          <w:szCs w:val="22"/>
        </w:rPr>
        <w:t>Ens que integren el sector públic de la Comunitat Autònoma de les Illes Balears (Llei 7/2010)</w:t>
      </w:r>
    </w:p>
    <w:bookmarkEnd w:id="1"/>
    <w:p w:rsidR="00A948BF" w:rsidRPr="002E3A87" w:rsidRDefault="00A948BF" w:rsidP="00A948BF">
      <w:pPr>
        <w:rPr>
          <w:rFonts w:ascii="Noto Sans" w:hAnsi="Noto Sans" w:cs="Noto Sans"/>
          <w:b/>
          <w:sz w:val="22"/>
          <w:szCs w:val="22"/>
        </w:rPr>
      </w:pPr>
    </w:p>
    <w:tbl>
      <w:tblPr>
        <w:tblStyle w:val="Tabladecuadrcula4-nfasis31"/>
        <w:tblW w:w="8910" w:type="dxa"/>
        <w:tblLook w:val="04A0" w:firstRow="1" w:lastRow="0" w:firstColumn="1" w:lastColumn="0" w:noHBand="0" w:noVBand="1"/>
      </w:tblPr>
      <w:tblGrid>
        <w:gridCol w:w="6690"/>
        <w:gridCol w:w="2220"/>
      </w:tblGrid>
      <w:tr w:rsidR="002E3A87" w:rsidRPr="002E3A87" w:rsidTr="003E2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noWrap/>
            <w:hideMark/>
          </w:tcPr>
          <w:p w:rsidR="00A948BF" w:rsidRPr="002E3A87" w:rsidRDefault="00A948BF" w:rsidP="003E26DA">
            <w:pPr>
              <w:jc w:val="center"/>
              <w:rPr>
                <w:rFonts w:ascii="Noto Sans" w:hAnsi="Noto Sans" w:cs="Noto Sans"/>
                <w:noProof w:val="0"/>
                <w:color w:val="auto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color w:val="auto"/>
                <w:sz w:val="20"/>
                <w:lang w:val="es-ES" w:eastAsia="es-ES"/>
              </w:rPr>
              <w:t>ENTITAT</w:t>
            </w:r>
          </w:p>
        </w:tc>
        <w:tc>
          <w:tcPr>
            <w:tcW w:w="2220" w:type="dxa"/>
            <w:noWrap/>
            <w:hideMark/>
          </w:tcPr>
          <w:p w:rsidR="00A948BF" w:rsidRPr="002E3A87" w:rsidRDefault="00A948BF" w:rsidP="003E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color w:val="auto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color w:val="auto"/>
                <w:sz w:val="20"/>
                <w:lang w:val="es-ES" w:eastAsia="es-ES"/>
              </w:rPr>
              <w:t>NIF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Agència Balear de l’Aigua i de la Qualitat Ambiental (ABAQUA)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Q0700507G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Agència de Qualitat Universitària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Q0700449B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E511D6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Agència d'Estratègia Turística de les Illes Balears (AETIB)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Q5755004H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Agència Tributària de les Illes Balears (ATIB)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Q0700546E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Centre Balears Europa (CBE)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Q5755001D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Comunitat Autònoma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Consell Econòmic i Social de les  Illes Balears (CES)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3E26D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Consorci per al Desenvolupament d’Actuacions de Millora i Construcció d’Infraestructures al Territori de l’Entitat Local Menor de </w:t>
            </w:r>
            <w:proofErr w:type="spellStart"/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Palmanyola</w:t>
            </w:r>
            <w:proofErr w:type="spellEnd"/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P0700030J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d’Aigües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Q0700644H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de Recursos Sociosanitaris i Assistencials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V57691826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d’Infraestructures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S0700109B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Escola d’Hoteleria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Q5755013I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Mobilitat per Eivissa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Q0700492B</w:t>
            </w:r>
          </w:p>
        </w:tc>
      </w:tr>
      <w:tr w:rsidR="002E3A87" w:rsidRPr="002E3A87" w:rsidTr="003E26D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Consorci per a la Millora de les Infraestructures Turístiques i per al Foment de la </w:t>
            </w:r>
            <w:proofErr w:type="spellStart"/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Desestacionalització</w:t>
            </w:r>
            <w:proofErr w:type="spellEnd"/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 de l’Oferta de l’Illa de Mallorca (Consorci Borsa d’Allotjaments Turístics)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Q0700577J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per a la Protecció i Acollida de les persones disminuïdes psíquiques Profundes (APROP)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Q5755006C</w:t>
            </w:r>
          </w:p>
        </w:tc>
      </w:tr>
      <w:tr w:rsidR="002E3A87" w:rsidRPr="002E3A87" w:rsidTr="003E26D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per a la Reconversió Territorial i Paisatgística de Determinades Zones de l’Illa d’Eivissa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Q0700594E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per a la Recuperació de la Fauna de les Illes Balears (COFIB)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Q0700459A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per al Foment d’Infraestructures Universitàries (COFIU)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Q0700493J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Velòdrom Palma Arena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Q0700505A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Consorci de Transports de Mallorca (CTM)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Q0700528C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Ens Públic de Radiotelevisió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Q0700458C</w:t>
            </w:r>
          </w:p>
        </w:tc>
      </w:tr>
      <w:tr w:rsidR="002E3A87" w:rsidRPr="002E3A87" w:rsidTr="003E26D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Entitat Pública Empresarial de Telecomunicacions i</w:t>
            </w:r>
            <w:r w:rsidR="00E511D6"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 Innovació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E511D6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V16541831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Escola Balear d’Administració Pública (EBAP)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Fons de Garantia Agrària i Pesquera de les Illes Balears (FOGAIBA)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Q0700494H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Balear d’Innovació i Tecnologia (BIT)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G57775884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Banc de Sang i Teixits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G07905342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d’Atenció i Suport a la Dependència i de Promoció de l’Autonomia Personal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G57421687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d’Investigació Sanitària de les Illes Balears Ramon Llull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G57326324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Fundació Institut Socioeducatiu </w:t>
            </w:r>
            <w:proofErr w:type="spellStart"/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s’Estel</w:t>
            </w:r>
            <w:proofErr w:type="spellEnd"/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G57113474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Orquestra Simfònica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G57915274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per a l’Esport Balear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G57139560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per als Estudis Superiors de Música i Arts Escèniques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G57086035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Robert Graves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G57250326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Santuari de Lluc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G07591407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Fundació Universitat - Empresa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G07779895</w:t>
            </w:r>
          </w:p>
        </w:tc>
      </w:tr>
      <w:tr w:rsidR="002E3A87" w:rsidRPr="002E3A87" w:rsidTr="003E26D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Gestió d’Emergències de les Illes Balears </w:t>
            </w:r>
            <w:r w:rsidR="00E511D6" w:rsidRPr="002E3A87">
              <w:rPr>
                <w:rFonts w:ascii="Noto Sans" w:hAnsi="Noto Sans" w:cs="Noto Sans"/>
                <w:b w:val="0"/>
                <w:noProof w:val="0"/>
                <w:sz w:val="20"/>
                <w:vertAlign w:val="superscript"/>
                <w:lang w:eastAsia="es-ES"/>
              </w:rPr>
              <w:t>1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proofErr w:type="spellStart"/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Pendent</w:t>
            </w:r>
            <w:proofErr w:type="spellEnd"/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Gestió d’Emergències de les Illes Balears, SAU (GEIBSAU)</w:t>
            </w:r>
            <w:r w:rsidR="00E511D6" w:rsidRPr="002E3A87">
              <w:rPr>
                <w:rFonts w:ascii="Noto Sans" w:hAnsi="Noto Sans" w:cs="Noto Sans"/>
                <w:b w:val="0"/>
                <w:noProof w:val="0"/>
                <w:sz w:val="20"/>
                <w:vertAlign w:val="superscript"/>
                <w:lang w:eastAsia="es-ES"/>
              </w:rPr>
              <w:t xml:space="preserve"> 1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A57325458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Gestió Sanitària i Assistencial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E511D6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Q0700715F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de la Dona (IBDONA)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de la Joventut (IBJOVE)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Q0700516H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de la Natura (IBANAT)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Q5750018C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de l’Habitatge (IBAVI)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Q5750001I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de Seguretat i Salut Laboral</w:t>
            </w:r>
            <w:r w:rsidR="00E511D6"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 xml:space="preserve"> (IBASSAL)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proofErr w:type="spellStart"/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Pendent</w:t>
            </w:r>
            <w:proofErr w:type="spellEnd"/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A948BF" w:rsidRPr="002E3A87" w:rsidRDefault="00A948BF" w:rsidP="003E26DA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Balear d’Infraestructures i Serveis Educatius i Culturals (IBISEC)</w:t>
            </w:r>
          </w:p>
        </w:tc>
        <w:tc>
          <w:tcPr>
            <w:tcW w:w="2220" w:type="dxa"/>
            <w:noWrap/>
            <w:vAlign w:val="center"/>
            <w:hideMark/>
          </w:tcPr>
          <w:p w:rsidR="00A948BF" w:rsidRPr="002E3A87" w:rsidRDefault="00A948BF" w:rsidP="003E2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Q0700452F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d’Estadística de les Illes Balears ( IBESTAT)</w:t>
            </w:r>
          </w:p>
        </w:tc>
        <w:tc>
          <w:tcPr>
            <w:tcW w:w="2220" w:type="dxa"/>
            <w:noWrap/>
            <w:vAlign w:val="center"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E511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de la Llengua i la Cultura de les Illes Balears (ILLENC)</w:t>
            </w:r>
            <w:r w:rsidRPr="002E3A87">
              <w:rPr>
                <w:rFonts w:ascii="Noto Sans" w:hAnsi="Noto Sans" w:cs="Noto Sans"/>
                <w:b w:val="0"/>
                <w:noProof w:val="0"/>
                <w:sz w:val="20"/>
                <w:vertAlign w:val="superscript"/>
                <w:lang w:eastAsia="es-ES"/>
              </w:rPr>
              <w:t>2</w:t>
            </w:r>
          </w:p>
        </w:tc>
        <w:tc>
          <w:tcPr>
            <w:tcW w:w="2220" w:type="dxa"/>
            <w:noWrap/>
            <w:vAlign w:val="center"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proofErr w:type="spellStart"/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Pendent</w:t>
            </w:r>
            <w:proofErr w:type="spellEnd"/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d’Estudis Baleàrics (IEB)</w:t>
            </w:r>
            <w:r w:rsidRPr="002E3A87">
              <w:rPr>
                <w:rFonts w:ascii="Noto Sans" w:hAnsi="Noto Sans" w:cs="Noto Sans"/>
                <w:b w:val="0"/>
                <w:noProof w:val="0"/>
                <w:sz w:val="20"/>
                <w:vertAlign w:val="superscript"/>
                <w:lang w:eastAsia="es-ES"/>
              </w:rPr>
              <w:t>2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Q5755019F</w:t>
            </w:r>
          </w:p>
        </w:tc>
      </w:tr>
      <w:tr w:rsidR="002E3A87" w:rsidRPr="002E3A87" w:rsidTr="003E26D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d'Indústries Culturals de les Illes Balears (ICIB)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proofErr w:type="spellStart"/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Pendent</w:t>
            </w:r>
            <w:proofErr w:type="spellEnd"/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Institut d’Innovació Empresarial de les Illes Balears (IDI)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Q5755018H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Ports de les Illes Balears (PIB)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Q0700499G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Servei de Salut de les Illes Balears (IB-Salut)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Q0719003F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Servei d’Informació Territorial de les Illes Balears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Q0700675B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Servei d’Ocupació de les Illes Balears (SOIB)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S0711001H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Serveis de Millora Agrària i Pesquera (SEMILLA)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Q0700676J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Serveis Ferroviaris de Mallorca (SFM)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Q5750006H</w:t>
            </w:r>
          </w:p>
        </w:tc>
      </w:tr>
      <w:tr w:rsidR="002E3A87" w:rsidRPr="002E3A87" w:rsidTr="003E26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Universitat de les Illes Balears (UIB)</w:t>
            </w:r>
          </w:p>
        </w:tc>
        <w:tc>
          <w:tcPr>
            <w:tcW w:w="2220" w:type="dxa"/>
            <w:noWrap/>
            <w:vAlign w:val="center"/>
            <w:hideMark/>
          </w:tcPr>
          <w:p w:rsidR="00E511D6" w:rsidRPr="002E3A87" w:rsidRDefault="00E511D6" w:rsidP="00E51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val="es-ES" w:eastAsia="es-ES"/>
              </w:rPr>
              <w:t>Q0718001A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noWrap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noProof w:val="0"/>
                <w:sz w:val="20"/>
                <w:lang w:eastAsia="es-ES"/>
              </w:rPr>
              <w:t>Notes:</w:t>
            </w:r>
          </w:p>
        </w:tc>
        <w:tc>
          <w:tcPr>
            <w:tcW w:w="2220" w:type="dxa"/>
            <w:noWrap/>
            <w:hideMark/>
          </w:tcPr>
          <w:p w:rsidR="00E511D6" w:rsidRPr="002E3A87" w:rsidRDefault="00E511D6" w:rsidP="00E511D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noProof w:val="0"/>
                <w:sz w:val="20"/>
                <w:lang w:val="es-ES" w:eastAsia="es-ES"/>
              </w:rPr>
            </w:pPr>
          </w:p>
        </w:tc>
      </w:tr>
      <w:tr w:rsidR="002E3A87" w:rsidRPr="002E3A87" w:rsidTr="003E26D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  <w:noWrap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1. Gestió d’Emergències de les Illes Balears, SAU (GEIBSAU) passarà a ser Gestió Emergències de les Illes Balears, entitat pública empresarial.</w:t>
            </w:r>
          </w:p>
        </w:tc>
      </w:tr>
      <w:tr w:rsidR="002E3A87" w:rsidRPr="002E3A87" w:rsidTr="003E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"/>
            <w:noWrap/>
            <w:hideMark/>
          </w:tcPr>
          <w:p w:rsidR="00E511D6" w:rsidRPr="002E3A87" w:rsidRDefault="00E511D6" w:rsidP="00E511D6">
            <w:pPr>
              <w:jc w:val="left"/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</w:pPr>
            <w:r w:rsidRPr="002E3A87">
              <w:rPr>
                <w:rFonts w:ascii="Noto Sans" w:hAnsi="Noto Sans" w:cs="Noto Sans"/>
                <w:b w:val="0"/>
                <w:noProof w:val="0"/>
                <w:sz w:val="20"/>
                <w:lang w:eastAsia="es-ES"/>
              </w:rPr>
              <w:t>2. Institut d’Estudis Baleàrics passarà a ser Institut de la Llengua i la Cultura de les Illes Balears (ILLENC), entitat pública empresarial.</w:t>
            </w:r>
          </w:p>
        </w:tc>
      </w:tr>
    </w:tbl>
    <w:p w:rsidR="00CA40B4" w:rsidRPr="002E3A87" w:rsidRDefault="00CA40B4" w:rsidP="00F03FA9">
      <w:pPr>
        <w:spacing w:after="160" w:line="259" w:lineRule="auto"/>
        <w:jc w:val="left"/>
        <w:rPr>
          <w:rFonts w:ascii="Noto Sans" w:eastAsia="Arial Unicode MS" w:hAnsi="Noto Sans" w:cs="Noto Sans"/>
          <w:b/>
          <w:sz w:val="22"/>
          <w:szCs w:val="22"/>
        </w:rPr>
      </w:pPr>
      <w:bookmarkStart w:id="2" w:name="_Hlk504432908"/>
    </w:p>
    <w:p w:rsidR="00CA40B4" w:rsidRPr="002E3A87" w:rsidRDefault="00CA40B4" w:rsidP="00F03FA9">
      <w:pPr>
        <w:spacing w:after="160" w:line="259" w:lineRule="auto"/>
        <w:jc w:val="left"/>
        <w:rPr>
          <w:rFonts w:ascii="Noto Sans" w:eastAsia="Arial Unicode MS" w:hAnsi="Noto Sans" w:cs="Noto Sans"/>
          <w:b/>
          <w:sz w:val="22"/>
          <w:szCs w:val="22"/>
        </w:rPr>
      </w:pPr>
    </w:p>
    <w:p w:rsidR="00BA4585" w:rsidRDefault="00BA4585" w:rsidP="00F03FA9">
      <w:pPr>
        <w:spacing w:after="160" w:line="259" w:lineRule="auto"/>
        <w:jc w:val="left"/>
        <w:rPr>
          <w:rFonts w:ascii="Noto Sans" w:eastAsia="Arial Unicode MS" w:hAnsi="Noto Sans" w:cs="Noto Sans"/>
          <w:b/>
          <w:sz w:val="22"/>
          <w:szCs w:val="22"/>
        </w:rPr>
      </w:pPr>
      <w:bookmarkStart w:id="3" w:name="_GoBack"/>
      <w:bookmarkEnd w:id="3"/>
    </w:p>
    <w:bookmarkEnd w:id="2"/>
    <w:bookmarkEnd w:id="0"/>
    <w:sectPr w:rsidR="00BA4585" w:rsidSect="00256663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EA" w:rsidRDefault="001B41EA" w:rsidP="00CE220C">
      <w:r>
        <w:separator/>
      </w:r>
    </w:p>
  </w:endnote>
  <w:endnote w:type="continuationSeparator" w:id="0">
    <w:p w:rsidR="001B41EA" w:rsidRDefault="001B41EA" w:rsidP="00CE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EA" w:rsidRDefault="001B41EA" w:rsidP="00CE220C">
      <w:r>
        <w:separator/>
      </w:r>
    </w:p>
  </w:footnote>
  <w:footnote w:type="continuationSeparator" w:id="0">
    <w:p w:rsidR="001B41EA" w:rsidRDefault="001B41EA" w:rsidP="00CE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A" w:rsidRDefault="001B41EA">
    <w:pPr>
      <w:pStyle w:val="Encabezado"/>
    </w:pPr>
    <w:r>
      <w:rPr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-187672</wp:posOffset>
          </wp:positionV>
          <wp:extent cx="1784734" cy="1371600"/>
          <wp:effectExtent l="0" t="0" r="0" b="0"/>
          <wp:wrapNone/>
          <wp:docPr id="10" name="0 Imagen" descr="archivopub.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pub.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73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5AC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96D"/>
    <w:multiLevelType w:val="hybridMultilevel"/>
    <w:tmpl w:val="F078BF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0D7"/>
    <w:multiLevelType w:val="hybridMultilevel"/>
    <w:tmpl w:val="111E012C"/>
    <w:lvl w:ilvl="0" w:tplc="6636C0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76F"/>
    <w:multiLevelType w:val="hybridMultilevel"/>
    <w:tmpl w:val="C9868CA8"/>
    <w:lvl w:ilvl="0" w:tplc="338C04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394C"/>
    <w:multiLevelType w:val="hybridMultilevel"/>
    <w:tmpl w:val="4ABEE1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BB5"/>
    <w:multiLevelType w:val="hybridMultilevel"/>
    <w:tmpl w:val="8FA6515A"/>
    <w:lvl w:ilvl="0" w:tplc="ED846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95B"/>
    <w:multiLevelType w:val="hybridMultilevel"/>
    <w:tmpl w:val="A0066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D55"/>
    <w:multiLevelType w:val="hybridMultilevel"/>
    <w:tmpl w:val="BCBC23C6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A6C"/>
    <w:multiLevelType w:val="hybridMultilevel"/>
    <w:tmpl w:val="170C756E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0F6"/>
    <w:multiLevelType w:val="singleLevel"/>
    <w:tmpl w:val="1448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/>
      </w:rPr>
    </w:lvl>
  </w:abstractNum>
  <w:abstractNum w:abstractNumId="10" w15:restartNumberingAfterBreak="0">
    <w:nsid w:val="3F445314"/>
    <w:multiLevelType w:val="hybridMultilevel"/>
    <w:tmpl w:val="DDA6BF30"/>
    <w:lvl w:ilvl="0" w:tplc="3656E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F53"/>
    <w:multiLevelType w:val="hybridMultilevel"/>
    <w:tmpl w:val="9006DA12"/>
    <w:lvl w:ilvl="0" w:tplc="F6304BCE">
      <w:numFmt w:val="bullet"/>
      <w:lvlText w:val="-"/>
      <w:lvlJc w:val="left"/>
      <w:pPr>
        <w:ind w:left="1069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7C5E28"/>
    <w:multiLevelType w:val="hybridMultilevel"/>
    <w:tmpl w:val="0BD43C92"/>
    <w:lvl w:ilvl="0" w:tplc="3B70ABF4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000805"/>
    <w:multiLevelType w:val="hybridMultilevel"/>
    <w:tmpl w:val="0F2EA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1340"/>
    <w:multiLevelType w:val="hybridMultilevel"/>
    <w:tmpl w:val="7B8E6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5126"/>
    <w:multiLevelType w:val="hybridMultilevel"/>
    <w:tmpl w:val="C7AEF894"/>
    <w:lvl w:ilvl="0" w:tplc="59CAEC14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E3B0D99"/>
    <w:multiLevelType w:val="hybridMultilevel"/>
    <w:tmpl w:val="F886DF9C"/>
    <w:lvl w:ilvl="0" w:tplc="18CA84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C60DE"/>
    <w:multiLevelType w:val="hybridMultilevel"/>
    <w:tmpl w:val="BA54C07A"/>
    <w:lvl w:ilvl="0" w:tplc="FE1C17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94E"/>
    <w:multiLevelType w:val="hybridMultilevel"/>
    <w:tmpl w:val="7C007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49"/>
    <w:rsid w:val="000110FD"/>
    <w:rsid w:val="00016232"/>
    <w:rsid w:val="000269D0"/>
    <w:rsid w:val="00027E0C"/>
    <w:rsid w:val="00030615"/>
    <w:rsid w:val="00066B6B"/>
    <w:rsid w:val="00067842"/>
    <w:rsid w:val="0008703B"/>
    <w:rsid w:val="000902D4"/>
    <w:rsid w:val="000B42C5"/>
    <w:rsid w:val="000C02DB"/>
    <w:rsid w:val="000C081F"/>
    <w:rsid w:val="000E6FCF"/>
    <w:rsid w:val="000F11B0"/>
    <w:rsid w:val="000F5B10"/>
    <w:rsid w:val="00100024"/>
    <w:rsid w:val="00101818"/>
    <w:rsid w:val="001225A3"/>
    <w:rsid w:val="00156EED"/>
    <w:rsid w:val="00157A53"/>
    <w:rsid w:val="00163F80"/>
    <w:rsid w:val="00173BC0"/>
    <w:rsid w:val="00190A6B"/>
    <w:rsid w:val="00192356"/>
    <w:rsid w:val="001A7292"/>
    <w:rsid w:val="001B0331"/>
    <w:rsid w:val="001B144E"/>
    <w:rsid w:val="001B41EA"/>
    <w:rsid w:val="001D12C6"/>
    <w:rsid w:val="001D215A"/>
    <w:rsid w:val="001E4C4A"/>
    <w:rsid w:val="00205FA6"/>
    <w:rsid w:val="00216AFB"/>
    <w:rsid w:val="00241A69"/>
    <w:rsid w:val="00255FA5"/>
    <w:rsid w:val="00256663"/>
    <w:rsid w:val="00261F66"/>
    <w:rsid w:val="00265D3A"/>
    <w:rsid w:val="0027043D"/>
    <w:rsid w:val="00271F7B"/>
    <w:rsid w:val="00274DAE"/>
    <w:rsid w:val="00277B11"/>
    <w:rsid w:val="00284863"/>
    <w:rsid w:val="002B7322"/>
    <w:rsid w:val="002C2E46"/>
    <w:rsid w:val="002C5AC6"/>
    <w:rsid w:val="002C5E33"/>
    <w:rsid w:val="002D70B7"/>
    <w:rsid w:val="002E1EBF"/>
    <w:rsid w:val="002E3A87"/>
    <w:rsid w:val="002F5204"/>
    <w:rsid w:val="003032BA"/>
    <w:rsid w:val="00310075"/>
    <w:rsid w:val="003129DB"/>
    <w:rsid w:val="00321731"/>
    <w:rsid w:val="00325331"/>
    <w:rsid w:val="0033597D"/>
    <w:rsid w:val="003442C1"/>
    <w:rsid w:val="0036505B"/>
    <w:rsid w:val="003821CD"/>
    <w:rsid w:val="00393535"/>
    <w:rsid w:val="003A32ED"/>
    <w:rsid w:val="003C59BD"/>
    <w:rsid w:val="003C7789"/>
    <w:rsid w:val="003D13E3"/>
    <w:rsid w:val="003D3A9D"/>
    <w:rsid w:val="003E26DA"/>
    <w:rsid w:val="003E4744"/>
    <w:rsid w:val="00400921"/>
    <w:rsid w:val="00405E84"/>
    <w:rsid w:val="00421100"/>
    <w:rsid w:val="00421E02"/>
    <w:rsid w:val="00422C4D"/>
    <w:rsid w:val="0042770C"/>
    <w:rsid w:val="004611AB"/>
    <w:rsid w:val="00463643"/>
    <w:rsid w:val="00467405"/>
    <w:rsid w:val="00476E06"/>
    <w:rsid w:val="004B28CA"/>
    <w:rsid w:val="004B3C9A"/>
    <w:rsid w:val="004C389A"/>
    <w:rsid w:val="004E3E71"/>
    <w:rsid w:val="004E452C"/>
    <w:rsid w:val="004F497B"/>
    <w:rsid w:val="00503424"/>
    <w:rsid w:val="00507CE5"/>
    <w:rsid w:val="0051700B"/>
    <w:rsid w:val="0053661A"/>
    <w:rsid w:val="005421C1"/>
    <w:rsid w:val="0054567D"/>
    <w:rsid w:val="00551CCB"/>
    <w:rsid w:val="00565226"/>
    <w:rsid w:val="0057724D"/>
    <w:rsid w:val="0059285C"/>
    <w:rsid w:val="005A1253"/>
    <w:rsid w:val="005A34F1"/>
    <w:rsid w:val="005A69CF"/>
    <w:rsid w:val="005B4ED9"/>
    <w:rsid w:val="005C45AB"/>
    <w:rsid w:val="005D0FF0"/>
    <w:rsid w:val="00612712"/>
    <w:rsid w:val="00616D12"/>
    <w:rsid w:val="006427A9"/>
    <w:rsid w:val="00646B87"/>
    <w:rsid w:val="006677C4"/>
    <w:rsid w:val="00674D25"/>
    <w:rsid w:val="0068285E"/>
    <w:rsid w:val="00697BA6"/>
    <w:rsid w:val="00697D76"/>
    <w:rsid w:val="006B7014"/>
    <w:rsid w:val="006C3AB4"/>
    <w:rsid w:val="006C45CB"/>
    <w:rsid w:val="006F6BF1"/>
    <w:rsid w:val="00716DC9"/>
    <w:rsid w:val="00726B2B"/>
    <w:rsid w:val="00751426"/>
    <w:rsid w:val="00773CC9"/>
    <w:rsid w:val="00781818"/>
    <w:rsid w:val="007865BA"/>
    <w:rsid w:val="007948B2"/>
    <w:rsid w:val="007A7BAD"/>
    <w:rsid w:val="007B0ACD"/>
    <w:rsid w:val="007B3051"/>
    <w:rsid w:val="007F7BFD"/>
    <w:rsid w:val="008034F3"/>
    <w:rsid w:val="00807D72"/>
    <w:rsid w:val="00810C16"/>
    <w:rsid w:val="0082014D"/>
    <w:rsid w:val="00840FF5"/>
    <w:rsid w:val="00842436"/>
    <w:rsid w:val="00886390"/>
    <w:rsid w:val="00896642"/>
    <w:rsid w:val="008B438A"/>
    <w:rsid w:val="008C6A4C"/>
    <w:rsid w:val="008E30A7"/>
    <w:rsid w:val="008F7E50"/>
    <w:rsid w:val="00900D62"/>
    <w:rsid w:val="009022CB"/>
    <w:rsid w:val="00904805"/>
    <w:rsid w:val="009143E2"/>
    <w:rsid w:val="00932426"/>
    <w:rsid w:val="00955AD3"/>
    <w:rsid w:val="00976915"/>
    <w:rsid w:val="00990C8F"/>
    <w:rsid w:val="00991799"/>
    <w:rsid w:val="009A6581"/>
    <w:rsid w:val="009C4B0F"/>
    <w:rsid w:val="009D202A"/>
    <w:rsid w:val="009D5061"/>
    <w:rsid w:val="009D6150"/>
    <w:rsid w:val="009D7914"/>
    <w:rsid w:val="00A11021"/>
    <w:rsid w:val="00A11C77"/>
    <w:rsid w:val="00A25A19"/>
    <w:rsid w:val="00A25D5F"/>
    <w:rsid w:val="00A269CD"/>
    <w:rsid w:val="00A317B6"/>
    <w:rsid w:val="00A41117"/>
    <w:rsid w:val="00A47E58"/>
    <w:rsid w:val="00A572EA"/>
    <w:rsid w:val="00A64B2C"/>
    <w:rsid w:val="00A7319C"/>
    <w:rsid w:val="00A948BF"/>
    <w:rsid w:val="00AA1A3A"/>
    <w:rsid w:val="00AA28A6"/>
    <w:rsid w:val="00AD0F92"/>
    <w:rsid w:val="00AE2723"/>
    <w:rsid w:val="00AF573D"/>
    <w:rsid w:val="00AF5EBE"/>
    <w:rsid w:val="00B06780"/>
    <w:rsid w:val="00B32C4C"/>
    <w:rsid w:val="00B3737D"/>
    <w:rsid w:val="00BA3879"/>
    <w:rsid w:val="00BA4585"/>
    <w:rsid w:val="00BA7B7E"/>
    <w:rsid w:val="00BD141A"/>
    <w:rsid w:val="00BF36CD"/>
    <w:rsid w:val="00BF6E58"/>
    <w:rsid w:val="00C21D43"/>
    <w:rsid w:val="00C506DB"/>
    <w:rsid w:val="00C565B2"/>
    <w:rsid w:val="00C677C6"/>
    <w:rsid w:val="00C820FD"/>
    <w:rsid w:val="00CA0732"/>
    <w:rsid w:val="00CA1F16"/>
    <w:rsid w:val="00CA40B4"/>
    <w:rsid w:val="00CC3C78"/>
    <w:rsid w:val="00CC5DD7"/>
    <w:rsid w:val="00CE220C"/>
    <w:rsid w:val="00CE6498"/>
    <w:rsid w:val="00CE654E"/>
    <w:rsid w:val="00CF719F"/>
    <w:rsid w:val="00D15BE9"/>
    <w:rsid w:val="00D254B8"/>
    <w:rsid w:val="00D42325"/>
    <w:rsid w:val="00D65248"/>
    <w:rsid w:val="00D661B8"/>
    <w:rsid w:val="00D86A81"/>
    <w:rsid w:val="00D972A5"/>
    <w:rsid w:val="00DA6757"/>
    <w:rsid w:val="00DC139B"/>
    <w:rsid w:val="00DC14C7"/>
    <w:rsid w:val="00DC516D"/>
    <w:rsid w:val="00DC60E0"/>
    <w:rsid w:val="00DD11DB"/>
    <w:rsid w:val="00DD3778"/>
    <w:rsid w:val="00DF16B7"/>
    <w:rsid w:val="00E00D49"/>
    <w:rsid w:val="00E045E9"/>
    <w:rsid w:val="00E174D3"/>
    <w:rsid w:val="00E226E7"/>
    <w:rsid w:val="00E34357"/>
    <w:rsid w:val="00E35886"/>
    <w:rsid w:val="00E511D6"/>
    <w:rsid w:val="00E549EF"/>
    <w:rsid w:val="00E633C9"/>
    <w:rsid w:val="00E63AD6"/>
    <w:rsid w:val="00E7738E"/>
    <w:rsid w:val="00E803F9"/>
    <w:rsid w:val="00E835ED"/>
    <w:rsid w:val="00E83CBB"/>
    <w:rsid w:val="00EB1A4E"/>
    <w:rsid w:val="00EB339B"/>
    <w:rsid w:val="00ED3AC1"/>
    <w:rsid w:val="00EE00DA"/>
    <w:rsid w:val="00EE182E"/>
    <w:rsid w:val="00EE374B"/>
    <w:rsid w:val="00EF2B20"/>
    <w:rsid w:val="00F00A3E"/>
    <w:rsid w:val="00F03FA9"/>
    <w:rsid w:val="00F10A09"/>
    <w:rsid w:val="00F14892"/>
    <w:rsid w:val="00F36E76"/>
    <w:rsid w:val="00F40A84"/>
    <w:rsid w:val="00F44DE4"/>
    <w:rsid w:val="00F52082"/>
    <w:rsid w:val="00F8352A"/>
    <w:rsid w:val="00F96BE5"/>
    <w:rsid w:val="00FB2972"/>
    <w:rsid w:val="00FB7884"/>
    <w:rsid w:val="00FC3B4F"/>
    <w:rsid w:val="00FC6CB7"/>
    <w:rsid w:val="00FD2FB1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13DC"/>
  <w15:docId w15:val="{E3E06974-0DB7-41A6-BAAB-16ACCF1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4C"/>
    <w:pPr>
      <w:spacing w:after="0" w:line="240" w:lineRule="auto"/>
      <w:jc w:val="both"/>
    </w:pPr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25666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56663"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476E06"/>
    <w:pPr>
      <w:ind w:firstLine="360"/>
    </w:pPr>
    <w:rPr>
      <w:rFonts w:ascii="Times New Roman" w:hAnsi="Times New Roman"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76E0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6E0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6E06"/>
    <w:rPr>
      <w:rFonts w:ascii="LegacySanITCBoo" w:eastAsia="Times New Roman" w:hAnsi="LegacySanITCBoo" w:cs="Times New Roman"/>
      <w:noProof/>
      <w:sz w:val="20"/>
      <w:szCs w:val="2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E06"/>
    <w:rPr>
      <w:rFonts w:ascii="Segoe UI" w:eastAsia="Times New Roman" w:hAnsi="Segoe UI" w:cs="Segoe UI"/>
      <w:noProof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E633C9"/>
    <w:pPr>
      <w:ind w:left="708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CM19">
    <w:name w:val="CM19"/>
    <w:basedOn w:val="Normal"/>
    <w:next w:val="Normal"/>
    <w:uiPriority w:val="99"/>
    <w:rsid w:val="00CE22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CE220C"/>
    <w:pPr>
      <w:jc w:val="left"/>
    </w:pPr>
    <w:rPr>
      <w:rFonts w:ascii="Times New Roman" w:hAnsi="Times New Roman"/>
      <w:sz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E220C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CE22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20C"/>
    <w:rPr>
      <w:rFonts w:ascii="LegacySanITCBoo" w:eastAsia="Times New Roman" w:hAnsi="LegacySanITCBoo" w:cs="Times New Roman"/>
      <w:noProof/>
      <w:sz w:val="26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rsid w:val="00256663"/>
    <w:rPr>
      <w:rFonts w:ascii="Arial" w:eastAsia="Times New Roman" w:hAnsi="Arial" w:cs="Times New Roman"/>
      <w:b/>
      <w:noProof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6663"/>
    <w:rPr>
      <w:rFonts w:ascii="Arial" w:eastAsia="Times New Roman" w:hAnsi="Arial" w:cs="Times New Roman"/>
      <w:b/>
      <w:i/>
      <w:noProof/>
      <w:sz w:val="24"/>
      <w:szCs w:val="20"/>
      <w:lang w:val="es-ES" w:eastAsia="es-ES"/>
    </w:rPr>
  </w:style>
  <w:style w:type="paragraph" w:customStyle="1" w:styleId="Normal1">
    <w:name w:val="Normal1"/>
    <w:rsid w:val="00256663"/>
    <w:pPr>
      <w:spacing w:after="0" w:line="240" w:lineRule="auto"/>
    </w:pPr>
    <w:rPr>
      <w:rFonts w:ascii="LegacySanITCBoo" w:eastAsia="LegacySanITCBoo" w:hAnsi="LegacySanITCBoo" w:cs="LegacySanITCBoo"/>
      <w:color w:val="000000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5666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56663"/>
    <w:pPr>
      <w:jc w:val="left"/>
    </w:pPr>
    <w:rPr>
      <w:rFonts w:ascii="Times New Roman" w:hAnsi="Times New Roman"/>
      <w:b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56663"/>
    <w:rPr>
      <w:rFonts w:ascii="Times New Roman" w:eastAsia="Times New Roman" w:hAnsi="Times New Roman" w:cs="Times New Roman"/>
      <w:b/>
      <w:noProof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256663"/>
    <w:rPr>
      <w:rFonts w:ascii="Times New Roman" w:hAnsi="Times New Roman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56663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customStyle="1" w:styleId="Default">
    <w:name w:val="Default"/>
    <w:rsid w:val="00256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5666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256663"/>
    <w:rPr>
      <w:color w:val="auto"/>
    </w:rPr>
  </w:style>
  <w:style w:type="paragraph" w:customStyle="1" w:styleId="CM4">
    <w:name w:val="CM4"/>
    <w:basedOn w:val="Default"/>
    <w:next w:val="Default"/>
    <w:uiPriority w:val="99"/>
    <w:rsid w:val="00256663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56663"/>
    <w:pPr>
      <w:spacing w:line="273" w:lineRule="atLeast"/>
    </w:pPr>
    <w:rPr>
      <w:color w:val="auto"/>
    </w:rPr>
  </w:style>
  <w:style w:type="character" w:styleId="Refdenotaalfinal">
    <w:name w:val="endnote reference"/>
    <w:uiPriority w:val="99"/>
    <w:semiHidden/>
    <w:unhideWhenUsed/>
    <w:rsid w:val="00256663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256663"/>
    <w:rPr>
      <w:color w:val="800080"/>
      <w:u w:val="single"/>
    </w:rPr>
  </w:style>
  <w:style w:type="paragraph" w:customStyle="1" w:styleId="xl65">
    <w:name w:val="xl65"/>
    <w:basedOn w:val="Normal"/>
    <w:rsid w:val="0025666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u w:val="single"/>
      <w:lang w:val="es-ES" w:eastAsia="es-ES"/>
    </w:rPr>
  </w:style>
  <w:style w:type="paragraph" w:customStyle="1" w:styleId="xl66">
    <w:name w:val="xl66"/>
    <w:basedOn w:val="Normal"/>
    <w:rsid w:val="0025666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256663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  <w:lang w:val="es-ES" w:eastAsia="es-ES"/>
    </w:rPr>
  </w:style>
  <w:style w:type="paragraph" w:customStyle="1" w:styleId="xl68">
    <w:name w:val="xl68"/>
    <w:basedOn w:val="Normal"/>
    <w:rsid w:val="00256663"/>
    <w:pPr>
      <w:spacing w:before="100" w:beforeAutospacing="1" w:after="100" w:afterAutospacing="1"/>
      <w:jc w:val="left"/>
    </w:pPr>
    <w:rPr>
      <w:sz w:val="24"/>
      <w:szCs w:val="24"/>
      <w:lang w:val="es-ES" w:eastAsia="es-ES"/>
    </w:rPr>
  </w:style>
  <w:style w:type="paragraph" w:customStyle="1" w:styleId="xl63">
    <w:name w:val="xl6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64">
    <w:name w:val="xl64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69">
    <w:name w:val="xl69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0">
    <w:name w:val="xl70"/>
    <w:basedOn w:val="Normal"/>
    <w:rsid w:val="00256663"/>
    <w:pP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1">
    <w:name w:val="xl71"/>
    <w:basedOn w:val="Normal"/>
    <w:rsid w:val="00256663"/>
    <w:pPr>
      <w:pBdr>
        <w:top w:val="single" w:sz="8" w:space="0" w:color="CBC7B8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AC2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s-ES" w:eastAsia="es-ES"/>
    </w:rPr>
  </w:style>
  <w:style w:type="paragraph" w:customStyle="1" w:styleId="xl72">
    <w:name w:val="xl72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3">
    <w:name w:val="xl73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FDE4"/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4">
    <w:name w:val="xl74"/>
    <w:basedOn w:val="Normal"/>
    <w:rsid w:val="00256663"/>
    <w:pPr>
      <w:spacing w:before="100" w:beforeAutospacing="1" w:after="100" w:afterAutospacing="1"/>
      <w:jc w:val="left"/>
    </w:pPr>
    <w:rPr>
      <w:color w:val="FF0000"/>
      <w:sz w:val="24"/>
      <w:szCs w:val="24"/>
      <w:lang w:val="es-ES" w:eastAsia="es-ES"/>
    </w:rPr>
  </w:style>
  <w:style w:type="paragraph" w:customStyle="1" w:styleId="xl75">
    <w:name w:val="xl75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30"/>
      <w:szCs w:val="30"/>
      <w:lang w:val="es-ES" w:eastAsia="es-ES"/>
    </w:rPr>
  </w:style>
  <w:style w:type="paragraph" w:customStyle="1" w:styleId="xl76">
    <w:name w:val="xl76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30"/>
      <w:szCs w:val="30"/>
      <w:lang w:val="es-ES" w:eastAsia="es-ES"/>
    </w:rPr>
  </w:style>
  <w:style w:type="paragraph" w:customStyle="1" w:styleId="xl77">
    <w:name w:val="xl77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FF0000"/>
      <w:sz w:val="30"/>
      <w:szCs w:val="30"/>
      <w:lang w:val="es-ES" w:eastAsia="es-ES"/>
    </w:rPr>
  </w:style>
  <w:style w:type="paragraph" w:customStyle="1" w:styleId="xl78">
    <w:name w:val="xl78"/>
    <w:basedOn w:val="Normal"/>
    <w:rsid w:val="00256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30"/>
      <w:szCs w:val="30"/>
      <w:lang w:val="es-ES" w:eastAsia="es-ES"/>
    </w:rPr>
  </w:style>
  <w:style w:type="paragraph" w:customStyle="1" w:styleId="xl79">
    <w:name w:val="xl79"/>
    <w:basedOn w:val="Normal"/>
    <w:rsid w:val="002566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30"/>
      <w:szCs w:val="30"/>
      <w:lang w:val="es-ES" w:eastAsia="es-ES"/>
    </w:rPr>
  </w:style>
  <w:style w:type="paragraph" w:customStyle="1" w:styleId="xl80">
    <w:name w:val="xl80"/>
    <w:basedOn w:val="Normal"/>
    <w:rsid w:val="00256663"/>
    <w:pPr>
      <w:spacing w:before="100" w:beforeAutospacing="1" w:after="100" w:afterAutospacing="1"/>
      <w:jc w:val="center"/>
    </w:pPr>
    <w:rPr>
      <w:sz w:val="30"/>
      <w:szCs w:val="3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6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666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566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256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663"/>
    <w:rPr>
      <w:rFonts w:ascii="LegacySanITCBoo" w:eastAsia="Times New Roman" w:hAnsi="LegacySanITCBoo" w:cs="Times New Roman"/>
      <w:b/>
      <w:bCs/>
      <w:noProof/>
      <w:sz w:val="20"/>
      <w:szCs w:val="20"/>
      <w:lang w:eastAsia="ca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6663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256663"/>
    <w:pPr>
      <w:spacing w:before="100" w:beforeAutospacing="1" w:after="142" w:line="288" w:lineRule="auto"/>
      <w:jc w:val="left"/>
    </w:pPr>
    <w:rPr>
      <w:rFonts w:ascii="Noto Sans" w:hAnsi="Noto Sans" w:cs="Noto Sans"/>
      <w:noProof w:val="0"/>
      <w:sz w:val="22"/>
      <w:szCs w:val="22"/>
      <w:lang w:val="es-ES" w:eastAsia="es-ES"/>
    </w:rPr>
  </w:style>
  <w:style w:type="paragraph" w:customStyle="1" w:styleId="msonormal0">
    <w:name w:val="msonormal"/>
    <w:basedOn w:val="Normal"/>
    <w:rsid w:val="00A948B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41"/>
    <w:rsid w:val="001000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D506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7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EAA3-E6C6-4D3B-AA22-53E5988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Morales Oliva</dc:creator>
  <cp:keywords/>
  <dc:description/>
  <cp:lastModifiedBy>Guillermo Sánchez Cifre</cp:lastModifiedBy>
  <cp:revision>2</cp:revision>
  <cp:lastPrinted>2019-01-22T15:24:00Z</cp:lastPrinted>
  <dcterms:created xsi:type="dcterms:W3CDTF">2019-01-23T10:45:00Z</dcterms:created>
  <dcterms:modified xsi:type="dcterms:W3CDTF">2019-01-23T10:45:00Z</dcterms:modified>
</cp:coreProperties>
</file>