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3FD" w:rsidRDefault="00C733FD" w:rsidP="00F60FBD">
      <w:pPr>
        <w:jc w:val="center"/>
        <w:rPr>
          <w:rFonts w:ascii="LegacySanITCBoo" w:hAnsi="LegacySanITCBoo"/>
          <w:b/>
          <w:smallCaps/>
          <w:color w:val="C30045"/>
          <w:sz w:val="36"/>
          <w:szCs w:val="26"/>
        </w:rPr>
      </w:pPr>
    </w:p>
    <w:p w:rsidR="00C733FD" w:rsidRDefault="00C733FD" w:rsidP="00F60FBD">
      <w:pPr>
        <w:jc w:val="center"/>
        <w:rPr>
          <w:rFonts w:ascii="LegacySanITCBoo" w:hAnsi="LegacySanITCBoo"/>
          <w:b/>
          <w:smallCaps/>
          <w:color w:val="C30045"/>
          <w:sz w:val="36"/>
          <w:szCs w:val="26"/>
        </w:rPr>
      </w:pPr>
    </w:p>
    <w:p w:rsidR="00C733FD" w:rsidRPr="000349EF" w:rsidRDefault="00C733FD" w:rsidP="00F60FBD">
      <w:pPr>
        <w:jc w:val="center"/>
        <w:rPr>
          <w:rFonts w:cs="Noto Sans"/>
          <w:b/>
          <w:smallCaps/>
          <w:color w:val="C30045"/>
          <w:sz w:val="26"/>
          <w:szCs w:val="26"/>
        </w:rPr>
      </w:pPr>
      <w:r w:rsidRPr="000349EF">
        <w:rPr>
          <w:rFonts w:cs="Noto Sans"/>
          <w:b/>
          <w:smallCaps/>
          <w:color w:val="C30045"/>
          <w:sz w:val="36"/>
          <w:szCs w:val="26"/>
        </w:rPr>
        <w:t>Informe sobre el dret d’accés a la informació pública a la CAIB durant l’any 2016</w:t>
      </w:r>
    </w:p>
    <w:p w:rsidR="00C733FD" w:rsidRDefault="00C733FD">
      <w:pPr>
        <w:rPr>
          <w:rFonts w:ascii="LegacySanITCBoo" w:hAnsi="LegacySanITCBoo"/>
          <w:b/>
          <w:sz w:val="26"/>
          <w:szCs w:val="26"/>
        </w:rPr>
      </w:pPr>
    </w:p>
    <w:p w:rsidR="00C733FD" w:rsidRDefault="00C733FD">
      <w:pPr>
        <w:rPr>
          <w:rFonts w:ascii="LegacySanITCBoo" w:hAnsi="LegacySanITCBoo"/>
          <w:b/>
          <w:sz w:val="26"/>
          <w:szCs w:val="26"/>
        </w:rPr>
      </w:pPr>
    </w:p>
    <w:p w:rsidR="00C733FD" w:rsidRDefault="00C733FD" w:rsidP="00915A28">
      <w:pPr>
        <w:rPr>
          <w:rFonts w:cs="Noto Sans"/>
          <w:b/>
        </w:rPr>
      </w:pPr>
      <w:r w:rsidRPr="000349EF">
        <w:rPr>
          <w:rFonts w:cs="Noto Sans"/>
          <w:b/>
          <w:sz w:val="24"/>
          <w:szCs w:val="24"/>
        </w:rPr>
        <w:t xml:space="preserve"> </w:t>
      </w:r>
      <w:r w:rsidRPr="00D16636">
        <w:rPr>
          <w:rFonts w:cs="Noto Sans"/>
          <w:b/>
        </w:rPr>
        <w:t xml:space="preserve">1. Introducció </w:t>
      </w:r>
    </w:p>
    <w:p w:rsidR="00F60FBD" w:rsidRPr="00D16636" w:rsidRDefault="00F60FBD" w:rsidP="00915A28">
      <w:pPr>
        <w:rPr>
          <w:rFonts w:cs="Noto Sans"/>
          <w:b/>
        </w:rPr>
      </w:pPr>
    </w:p>
    <w:p w:rsidR="00C733FD" w:rsidRDefault="00C733FD" w:rsidP="00915A28">
      <w:pPr>
        <w:rPr>
          <w:rFonts w:cs="Noto Sans"/>
        </w:rPr>
      </w:pPr>
      <w:r w:rsidRPr="00D16636">
        <w:rPr>
          <w:rFonts w:cs="Noto Sans"/>
        </w:rPr>
        <w:t>La Llei 19/2013, de 9 de desembre, de transparència, accés a la informació pública i bon govern, estableix el dret de qualsevol persona a accedir a la informació pública, és a dir, als continguts o documents que estigu</w:t>
      </w:r>
      <w:r w:rsidR="00915A28">
        <w:rPr>
          <w:rFonts w:cs="Noto Sans"/>
        </w:rPr>
        <w:t>in en poder de l’Administració p</w:t>
      </w:r>
      <w:r w:rsidRPr="00D16636">
        <w:rPr>
          <w:rFonts w:cs="Noto Sans"/>
        </w:rPr>
        <w:t xml:space="preserve">ública i que hagin </w:t>
      </w:r>
      <w:r w:rsidR="00F60FBD">
        <w:rPr>
          <w:rFonts w:cs="Noto Sans"/>
        </w:rPr>
        <w:t>estat</w:t>
      </w:r>
      <w:r w:rsidRPr="00D16636">
        <w:rPr>
          <w:rFonts w:cs="Noto Sans"/>
        </w:rPr>
        <w:t xml:space="preserve"> elaborats o adquirits en l’exercici de les seves funcions.</w:t>
      </w:r>
    </w:p>
    <w:p w:rsidR="00F60FBD" w:rsidRPr="00D16636" w:rsidRDefault="00F60FBD" w:rsidP="00915A28">
      <w:pPr>
        <w:rPr>
          <w:rFonts w:cs="Noto Sans"/>
        </w:rPr>
      </w:pPr>
    </w:p>
    <w:p w:rsidR="00C733FD" w:rsidRDefault="00C733FD" w:rsidP="00915A28">
      <w:pPr>
        <w:rPr>
          <w:rFonts w:cs="Noto Sans"/>
        </w:rPr>
      </w:pPr>
      <w:r w:rsidRPr="00D16636">
        <w:rPr>
          <w:rFonts w:cs="Noto Sans"/>
        </w:rPr>
        <w:t xml:space="preserve">L’Administració de la Comunitat Autònoma de les Illes Balears ha posat en funcionament un procediment per garantir aquest dret.  </w:t>
      </w:r>
    </w:p>
    <w:p w:rsidR="00F60FBD" w:rsidRPr="00D16636" w:rsidRDefault="00F60FBD" w:rsidP="00915A28">
      <w:pPr>
        <w:rPr>
          <w:rFonts w:cs="Noto Sans"/>
        </w:rPr>
      </w:pPr>
    </w:p>
    <w:p w:rsidR="00C733FD" w:rsidRPr="00D16636" w:rsidRDefault="00C733FD" w:rsidP="00915A28">
      <w:pPr>
        <w:rPr>
          <w:rFonts w:cs="Noto Sans"/>
        </w:rPr>
      </w:pPr>
      <w:r w:rsidRPr="00D16636">
        <w:rPr>
          <w:rFonts w:cs="Noto Sans"/>
        </w:rPr>
        <w:t>Aquest informe reflecteix el primer any de l’exercici del dret de la ciutadania a l’accés a la informació pública.</w:t>
      </w:r>
    </w:p>
    <w:p w:rsidR="00C733FD" w:rsidRDefault="00C733FD" w:rsidP="00915A28">
      <w:pPr>
        <w:rPr>
          <w:rFonts w:ascii="LegacySanITCBoo" w:hAnsi="LegacySanITCBoo"/>
          <w:b/>
        </w:rPr>
      </w:pPr>
    </w:p>
    <w:p w:rsidR="00F60FBD" w:rsidRPr="00D16636" w:rsidRDefault="00F60FBD" w:rsidP="00915A28">
      <w:pPr>
        <w:rPr>
          <w:rFonts w:ascii="LegacySanITCBoo" w:hAnsi="LegacySanITCBoo"/>
          <w:b/>
        </w:rPr>
      </w:pPr>
    </w:p>
    <w:p w:rsidR="00C733FD" w:rsidRDefault="00C733FD" w:rsidP="00915A28">
      <w:pPr>
        <w:rPr>
          <w:rFonts w:cs="Noto Sans"/>
          <w:b/>
        </w:rPr>
      </w:pPr>
      <w:r w:rsidRPr="00D16636">
        <w:rPr>
          <w:rFonts w:cs="Noto Sans"/>
          <w:b/>
        </w:rPr>
        <w:t>2. Indicadors</w:t>
      </w:r>
    </w:p>
    <w:p w:rsidR="00F60FBD" w:rsidRPr="00D16636" w:rsidRDefault="00F60FBD" w:rsidP="00915A28">
      <w:pPr>
        <w:rPr>
          <w:rFonts w:cs="Noto Sans"/>
          <w:b/>
        </w:rPr>
      </w:pPr>
    </w:p>
    <w:p w:rsidR="00C733FD" w:rsidRDefault="00F60FBD" w:rsidP="00915A28">
      <w:pPr>
        <w:rPr>
          <w:rFonts w:cs="Noto Sans"/>
          <w:b/>
          <w:i/>
          <w:color w:val="C30045"/>
        </w:rPr>
      </w:pPr>
      <w:r>
        <w:rPr>
          <w:rFonts w:cs="Noto Sans"/>
          <w:b/>
          <w:i/>
          <w:color w:val="C30045"/>
        </w:rPr>
        <w:t>Nombre</w:t>
      </w:r>
      <w:r w:rsidR="00C733FD" w:rsidRPr="00D16636">
        <w:rPr>
          <w:rFonts w:cs="Noto Sans"/>
          <w:b/>
          <w:i/>
          <w:color w:val="C30045"/>
        </w:rPr>
        <w:t xml:space="preserve"> de sol·licituds</w:t>
      </w:r>
    </w:p>
    <w:p w:rsidR="00F60FBD" w:rsidRPr="00D16636" w:rsidRDefault="00F60FBD" w:rsidP="00915A28">
      <w:pPr>
        <w:rPr>
          <w:rFonts w:cs="Noto Sans"/>
          <w:b/>
          <w:i/>
          <w:color w:val="C30045"/>
        </w:rPr>
      </w:pPr>
    </w:p>
    <w:p w:rsidR="00C733FD" w:rsidRPr="00D16636" w:rsidRDefault="00C733FD" w:rsidP="00915A28">
      <w:pPr>
        <w:rPr>
          <w:rFonts w:cs="Noto Sans"/>
        </w:rPr>
      </w:pPr>
      <w:r w:rsidRPr="00D16636">
        <w:rPr>
          <w:rFonts w:cs="Noto Sans"/>
        </w:rPr>
        <w:t xml:space="preserve">Durant l’any 2016 s’han rebut un total de </w:t>
      </w:r>
      <w:r w:rsidRPr="00D16636">
        <w:rPr>
          <w:rFonts w:cs="Noto Sans"/>
          <w:b/>
          <w:color w:val="C30045"/>
        </w:rPr>
        <w:t>68</w:t>
      </w:r>
      <w:r w:rsidRPr="00D16636">
        <w:rPr>
          <w:rFonts w:cs="Noto Sans"/>
        </w:rPr>
        <w:t xml:space="preserve"> sol·licituds d’accés a la informació pública. </w:t>
      </w:r>
    </w:p>
    <w:p w:rsidR="00C733FD" w:rsidRDefault="00C733FD" w:rsidP="00915A28">
      <w:pPr>
        <w:rPr>
          <w:rFonts w:cs="Noto Sans"/>
          <w:sz w:val="24"/>
          <w:szCs w:val="24"/>
        </w:rPr>
      </w:pPr>
    </w:p>
    <w:p w:rsidR="00C733FD" w:rsidRPr="000349EF" w:rsidRDefault="00C733FD" w:rsidP="00F60FBD">
      <w:pPr>
        <w:jc w:val="both"/>
        <w:rPr>
          <w:rFonts w:cs="Noto Sans"/>
          <w:sz w:val="24"/>
          <w:szCs w:val="24"/>
        </w:rPr>
      </w:pPr>
    </w:p>
    <w:p w:rsidR="00C733FD" w:rsidRPr="000349EF" w:rsidRDefault="00C733FD" w:rsidP="00F60FBD">
      <w:pPr>
        <w:jc w:val="both"/>
        <w:rPr>
          <w:rFonts w:cs="Noto Sans"/>
          <w:sz w:val="24"/>
          <w:szCs w:val="24"/>
        </w:rPr>
      </w:pPr>
      <w:r w:rsidRPr="00220E6B">
        <w:rPr>
          <w:rFonts w:cs="Noto Sans"/>
          <w:noProof/>
          <w:sz w:val="24"/>
          <w:szCs w:val="24"/>
          <w:lang w:val="es-ES" w:eastAsia="es-ES"/>
        </w:rPr>
        <w:lastRenderedPageBreak/>
        <w:drawing>
          <wp:inline distT="0" distB="0" distL="0" distR="0">
            <wp:extent cx="4933341" cy="2626157"/>
            <wp:effectExtent l="19050" t="0" r="609" b="0"/>
            <wp:docPr id="10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733FD" w:rsidRPr="00D16636" w:rsidRDefault="00C733FD" w:rsidP="00F60FBD">
      <w:pPr>
        <w:rPr>
          <w:rFonts w:cs="Noto Sans"/>
          <w:b/>
          <w:i/>
          <w:color w:val="C30045"/>
        </w:rPr>
      </w:pPr>
      <w:r w:rsidRPr="00D16636">
        <w:rPr>
          <w:rFonts w:cs="Noto Sans"/>
          <w:b/>
          <w:i/>
          <w:color w:val="C30045"/>
        </w:rPr>
        <w:t>Canal d’entrada</w:t>
      </w:r>
    </w:p>
    <w:p w:rsidR="00C733FD" w:rsidRDefault="00D94EB6" w:rsidP="00F60FBD">
      <w:pPr>
        <w:jc w:val="both"/>
        <w:rPr>
          <w:rFonts w:ascii="LegacySanITCBoo" w:hAnsi="LegacySanITCBoo"/>
          <w:sz w:val="26"/>
          <w:szCs w:val="26"/>
        </w:rPr>
      </w:pPr>
      <w:r w:rsidRPr="00D94EB6">
        <w:rPr>
          <w:rFonts w:ascii="LegacySanITCBoo" w:hAnsi="LegacySanITCBoo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256.6pt;margin-top:32.75pt;width:170.05pt;height:100.8pt;z-index:251658240;mso-width-percent:400;mso-position-horizontal-relative:text;mso-position-vertical-relative:text;mso-width-percent:400;mso-width-relative:margin;mso-height-relative:margin" stroked="f">
            <v:textbox>
              <w:txbxContent>
                <w:p w:rsidR="00E56BD0" w:rsidRPr="00D16636" w:rsidRDefault="00E56BD0" w:rsidP="00915A28">
                  <w:pPr>
                    <w:rPr>
                      <w:rFonts w:cs="Noto Sans"/>
                    </w:rPr>
                  </w:pPr>
                  <w:r w:rsidRPr="00D16636">
                    <w:rPr>
                      <w:rFonts w:cs="Noto Sans"/>
                    </w:rPr>
                    <w:t xml:space="preserve">El canal d’entrada de les sol·licituds ha </w:t>
                  </w:r>
                  <w:r>
                    <w:rPr>
                      <w:rFonts w:cs="Noto Sans"/>
                    </w:rPr>
                    <w:t>estat</w:t>
                  </w:r>
                  <w:r w:rsidRPr="00D16636">
                    <w:rPr>
                      <w:rFonts w:cs="Noto Sans"/>
                    </w:rPr>
                    <w:t xml:space="preserve"> preferentment el telemàtic, </w:t>
                  </w:r>
                  <w:r>
                    <w:rPr>
                      <w:rFonts w:cs="Noto Sans"/>
                    </w:rPr>
                    <w:t>mitjançant el</w:t>
                  </w:r>
                  <w:r w:rsidRPr="00D16636">
                    <w:rPr>
                      <w:rFonts w:cs="Noto Sans"/>
                    </w:rPr>
                    <w:t xml:space="preserve"> qual s’han presentat </w:t>
                  </w:r>
                  <w:r w:rsidRPr="00227EEA">
                    <w:rPr>
                      <w:rFonts w:cs="Noto Sans"/>
                      <w:b/>
                      <w:color w:val="C30045"/>
                    </w:rPr>
                    <w:t xml:space="preserve">49 </w:t>
                  </w:r>
                  <w:r w:rsidRPr="00D16636">
                    <w:rPr>
                      <w:rFonts w:cs="Noto Sans"/>
                    </w:rPr>
                    <w:t>sol·licituds (</w:t>
                  </w:r>
                  <w:r w:rsidRPr="00D16636">
                    <w:rPr>
                      <w:rFonts w:cs="Noto Sans"/>
                      <w:b/>
                      <w:color w:val="C30045"/>
                    </w:rPr>
                    <w:t>72</w:t>
                  </w:r>
                  <w:r>
                    <w:rPr>
                      <w:rFonts w:cs="Noto Sans"/>
                      <w:b/>
                      <w:color w:val="C30045"/>
                    </w:rPr>
                    <w:t> </w:t>
                  </w:r>
                  <w:r w:rsidRPr="00D16636">
                    <w:rPr>
                      <w:rFonts w:cs="Noto Sans"/>
                      <w:b/>
                      <w:color w:val="C30045"/>
                    </w:rPr>
                    <w:t>%</w:t>
                  </w:r>
                  <w:r w:rsidRPr="00D16636">
                    <w:rPr>
                      <w:rFonts w:cs="Noto Sans"/>
                    </w:rPr>
                    <w:t>).</w:t>
                  </w:r>
                </w:p>
                <w:p w:rsidR="00E56BD0" w:rsidRPr="00372F2C" w:rsidRDefault="00E56BD0"/>
              </w:txbxContent>
            </v:textbox>
          </v:shape>
        </w:pict>
      </w:r>
      <w:r w:rsidR="00C733FD" w:rsidRPr="000349EF">
        <w:rPr>
          <w:rFonts w:ascii="LegacySanITCBoo" w:hAnsi="LegacySanITCBoo"/>
          <w:noProof/>
          <w:sz w:val="26"/>
          <w:szCs w:val="26"/>
          <w:lang w:val="es-ES" w:eastAsia="es-ES"/>
        </w:rPr>
        <w:drawing>
          <wp:inline distT="0" distB="0" distL="0" distR="0">
            <wp:extent cx="2905125" cy="2019300"/>
            <wp:effectExtent l="0" t="0" r="0" b="0"/>
            <wp:docPr id="11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733FD" w:rsidRDefault="00C733FD" w:rsidP="00F60FBD">
      <w:pPr>
        <w:rPr>
          <w:rFonts w:cs="Noto Sans"/>
          <w:b/>
          <w:i/>
          <w:color w:val="C30045"/>
        </w:rPr>
      </w:pPr>
    </w:p>
    <w:p w:rsidR="00C733FD" w:rsidRPr="00D16636" w:rsidRDefault="00C733FD" w:rsidP="00F60FBD">
      <w:pPr>
        <w:rPr>
          <w:rFonts w:cs="Noto Sans"/>
          <w:b/>
          <w:i/>
          <w:color w:val="C30045"/>
        </w:rPr>
      </w:pPr>
      <w:r w:rsidRPr="00D16636">
        <w:rPr>
          <w:rFonts w:cs="Noto Sans"/>
          <w:b/>
          <w:i/>
          <w:color w:val="C30045"/>
        </w:rPr>
        <w:t>Estat de les sol·licituds a 31 de desembre de 2016</w:t>
      </w:r>
      <w:r w:rsidRPr="00D16636">
        <w:rPr>
          <w:rFonts w:cs="Noto Sans"/>
          <w:b/>
          <w:i/>
          <w:color w:val="C30045"/>
        </w:rPr>
        <w:tab/>
      </w:r>
    </w:p>
    <w:p w:rsidR="00C733FD" w:rsidRDefault="00C733FD" w:rsidP="00F60FBD">
      <w:pPr>
        <w:rPr>
          <w:rFonts w:ascii="LegacySanITCBoo" w:hAnsi="LegacySanITCBoo"/>
          <w:b/>
          <w:i/>
          <w:color w:val="C30045"/>
        </w:rPr>
      </w:pPr>
    </w:p>
    <w:p w:rsidR="00C733FD" w:rsidRPr="009B45DA" w:rsidRDefault="00D94EB6" w:rsidP="00F60FBD">
      <w:pPr>
        <w:rPr>
          <w:rFonts w:ascii="LegacySanITCBoo" w:hAnsi="LegacySanITCBoo"/>
          <w:b/>
          <w:color w:val="C30045"/>
          <w:sz w:val="26"/>
          <w:szCs w:val="26"/>
        </w:rPr>
      </w:pPr>
      <w:r w:rsidRPr="00D94EB6">
        <w:rPr>
          <w:rFonts w:cs="Noto Sans"/>
          <w:b/>
          <w:i/>
          <w:noProof/>
          <w:color w:val="C30045"/>
          <w:lang w:eastAsia="es-ES"/>
        </w:rPr>
        <w:pict>
          <v:shape id="_x0000_s1046" type="#_x0000_t202" style="position:absolute;margin-left:-11.55pt;margin-top:.55pt;width:191.25pt;height:121.35pt;z-index:251661312;mso-width-relative:margin;mso-height-relative:margin" stroked="f">
            <v:textbox style="mso-next-textbox:#_x0000_s1046">
              <w:txbxContent>
                <w:p w:rsidR="00E56BD0" w:rsidRPr="00227EEA" w:rsidRDefault="00E56BD0" w:rsidP="00915A28">
                  <w:pPr>
                    <w:rPr>
                      <w:rFonts w:cs="Noto Sans"/>
                    </w:rPr>
                  </w:pPr>
                  <w:r w:rsidRPr="00227EEA">
                    <w:rPr>
                      <w:rFonts w:cs="Noto Sans"/>
                    </w:rPr>
                    <w:t xml:space="preserve">A 31 de desembre de 2016, s’havien tramitat </w:t>
                  </w:r>
                  <w:r w:rsidRPr="00F60FBD">
                    <w:rPr>
                      <w:rFonts w:cs="Noto Sans"/>
                      <w:b/>
                      <w:color w:val="C30045"/>
                    </w:rPr>
                    <w:t>62</w:t>
                  </w:r>
                  <w:r w:rsidRPr="00227EEA">
                    <w:rPr>
                      <w:rFonts w:cs="Noto Sans"/>
                    </w:rPr>
                    <w:t xml:space="preserve"> sol·licituds i </w:t>
                  </w:r>
                  <w:r w:rsidRPr="00F60FBD">
                    <w:rPr>
                      <w:rFonts w:cs="Noto Sans"/>
                      <w:b/>
                      <w:color w:val="C30045"/>
                    </w:rPr>
                    <w:t>6</w:t>
                  </w:r>
                  <w:r w:rsidRPr="00F60FBD">
                    <w:rPr>
                      <w:rFonts w:cs="Noto Sans"/>
                    </w:rPr>
                    <w:t xml:space="preserve"> </w:t>
                  </w:r>
                  <w:r w:rsidRPr="00227EEA">
                    <w:rPr>
                      <w:rFonts w:cs="Noto Sans"/>
                    </w:rPr>
                    <w:t>estaven en tramitació. No s’havia resolt cap sol·licitud per silenci administratiu.</w:t>
                  </w:r>
                </w:p>
              </w:txbxContent>
            </v:textbox>
          </v:shape>
        </w:pict>
      </w:r>
      <w:r w:rsidR="00C733FD" w:rsidRPr="00D16636">
        <w:rPr>
          <w:rFonts w:ascii="LegacySanITCBoo" w:hAnsi="LegacySanITCBoo"/>
          <w:b/>
          <w:i/>
          <w:color w:val="C30045"/>
        </w:rPr>
        <w:tab/>
      </w:r>
      <w:r w:rsidR="00C733FD" w:rsidRPr="00D16636">
        <w:rPr>
          <w:rFonts w:ascii="LegacySanITCBoo" w:hAnsi="LegacySanITCBoo"/>
          <w:b/>
          <w:i/>
          <w:color w:val="C30045"/>
        </w:rPr>
        <w:tab/>
      </w:r>
      <w:r w:rsidR="00C733FD" w:rsidRPr="00D16636">
        <w:rPr>
          <w:rFonts w:ascii="LegacySanITCBoo" w:hAnsi="LegacySanITCBoo"/>
          <w:b/>
          <w:i/>
          <w:color w:val="C30045"/>
        </w:rPr>
        <w:tab/>
      </w:r>
      <w:r w:rsidR="00C733FD" w:rsidRPr="00D16636">
        <w:rPr>
          <w:rFonts w:ascii="LegacySanITCBoo" w:hAnsi="LegacySanITCBoo"/>
          <w:b/>
          <w:i/>
          <w:color w:val="C30045"/>
        </w:rPr>
        <w:tab/>
      </w:r>
      <w:r w:rsidR="00C733FD">
        <w:rPr>
          <w:rFonts w:ascii="LegacySanITCBoo" w:hAnsi="LegacySanITCBoo"/>
          <w:b/>
          <w:i/>
          <w:color w:val="C30045"/>
          <w:sz w:val="26"/>
          <w:szCs w:val="26"/>
        </w:rPr>
        <w:tab/>
      </w:r>
      <w:r w:rsidR="00C733FD">
        <w:rPr>
          <w:rFonts w:ascii="LegacySanITCBoo" w:hAnsi="LegacySanITCBoo"/>
          <w:b/>
          <w:color w:val="C30045"/>
          <w:sz w:val="26"/>
          <w:szCs w:val="26"/>
        </w:rPr>
        <w:tab/>
      </w:r>
      <w:r w:rsidR="00C733FD" w:rsidRPr="009B45DA">
        <w:rPr>
          <w:rFonts w:ascii="LegacySanITCBoo" w:hAnsi="LegacySanITCBoo"/>
          <w:b/>
          <w:noProof/>
          <w:color w:val="C30045"/>
          <w:sz w:val="26"/>
          <w:szCs w:val="26"/>
          <w:lang w:val="es-ES" w:eastAsia="es-ES"/>
        </w:rPr>
        <w:drawing>
          <wp:inline distT="0" distB="0" distL="0" distR="0">
            <wp:extent cx="2657475" cy="1504950"/>
            <wp:effectExtent l="0" t="0" r="0" b="0"/>
            <wp:docPr id="13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733FD" w:rsidRDefault="00C733FD" w:rsidP="00F60FBD">
      <w:pPr>
        <w:rPr>
          <w:rFonts w:ascii="LegacySanITCBoo" w:hAnsi="LegacySanITCBoo"/>
          <w:b/>
          <w:i/>
          <w:color w:val="C30045"/>
          <w:sz w:val="26"/>
          <w:szCs w:val="26"/>
        </w:rPr>
      </w:pPr>
    </w:p>
    <w:p w:rsidR="00C733FD" w:rsidRDefault="00C733FD" w:rsidP="00F60FBD">
      <w:pPr>
        <w:rPr>
          <w:rFonts w:ascii="LegacySanITCBoo" w:hAnsi="LegacySanITCBoo"/>
          <w:color w:val="C30045"/>
          <w:sz w:val="26"/>
          <w:szCs w:val="26"/>
        </w:rPr>
      </w:pPr>
    </w:p>
    <w:p w:rsidR="007C0C85" w:rsidRDefault="00C733FD" w:rsidP="007C0C85">
      <w:pPr>
        <w:jc w:val="both"/>
        <w:rPr>
          <w:rFonts w:cs="Noto Sans"/>
          <w:b/>
          <w:i/>
          <w:noProof/>
          <w:color w:val="C30045"/>
          <w:lang w:eastAsia="es-ES"/>
        </w:rPr>
      </w:pPr>
      <w:r w:rsidRPr="00D16636">
        <w:rPr>
          <w:rFonts w:cs="Noto Sans"/>
          <w:b/>
          <w:i/>
          <w:noProof/>
          <w:color w:val="C30045"/>
          <w:lang w:eastAsia="es-ES"/>
        </w:rPr>
        <w:t>Sentit de les resolucions i altres formes de finalització</w:t>
      </w:r>
    </w:p>
    <w:p w:rsidR="007C0C85" w:rsidRDefault="007C0C85" w:rsidP="007C0C85">
      <w:pPr>
        <w:jc w:val="both"/>
        <w:rPr>
          <w:rFonts w:cs="Noto Sans"/>
          <w:b/>
          <w:i/>
          <w:noProof/>
          <w:color w:val="C30045"/>
          <w:lang w:eastAsia="es-ES"/>
        </w:rPr>
      </w:pPr>
    </w:p>
    <w:p w:rsidR="00C733FD" w:rsidRPr="00D16636" w:rsidRDefault="00C733FD" w:rsidP="007C0C85">
      <w:pPr>
        <w:jc w:val="both"/>
        <w:rPr>
          <w:rFonts w:cs="Noto Sans"/>
        </w:rPr>
      </w:pPr>
      <w:r w:rsidRPr="00D16636">
        <w:rPr>
          <w:rFonts w:cs="Noto Sans"/>
        </w:rPr>
        <w:t xml:space="preserve">Dels </w:t>
      </w:r>
      <w:r w:rsidRPr="00D16636">
        <w:rPr>
          <w:rFonts w:cs="Noto Sans"/>
          <w:b/>
          <w:color w:val="C30045"/>
        </w:rPr>
        <w:t>62</w:t>
      </w:r>
      <w:r w:rsidRPr="00D16636">
        <w:rPr>
          <w:rFonts w:cs="Noto Sans"/>
        </w:rPr>
        <w:t xml:space="preserve"> expedients tramitats, </w:t>
      </w:r>
      <w:r w:rsidR="00F60FBD" w:rsidRPr="00D16636">
        <w:rPr>
          <w:rFonts w:cs="Noto Sans"/>
          <w:b/>
          <w:color w:val="C30045"/>
        </w:rPr>
        <w:t>50</w:t>
      </w:r>
      <w:r w:rsidR="00F60FBD">
        <w:rPr>
          <w:rFonts w:cs="Noto Sans"/>
          <w:b/>
          <w:color w:val="C30045"/>
        </w:rPr>
        <w:t xml:space="preserve"> </w:t>
      </w:r>
      <w:r w:rsidRPr="00D16636">
        <w:rPr>
          <w:rFonts w:cs="Noto Sans"/>
        </w:rPr>
        <w:t>han acabat en resol</w:t>
      </w:r>
      <w:r w:rsidR="00772CB3">
        <w:rPr>
          <w:rFonts w:cs="Noto Sans"/>
        </w:rPr>
        <w:t>ució;</w:t>
      </w:r>
      <w:r w:rsidRPr="00D16636">
        <w:rPr>
          <w:rFonts w:cs="Noto Sans"/>
          <w:color w:val="C30045"/>
        </w:rPr>
        <w:t xml:space="preserve"> </w:t>
      </w:r>
      <w:r w:rsidR="00772CB3">
        <w:rPr>
          <w:rFonts w:cs="Noto Sans"/>
        </w:rPr>
        <w:t>d’aquestes resolucions,</w:t>
      </w:r>
      <w:r w:rsidRPr="00D16636">
        <w:rPr>
          <w:rFonts w:cs="Noto Sans"/>
          <w:color w:val="C30045"/>
        </w:rPr>
        <w:t xml:space="preserve"> </w:t>
      </w:r>
      <w:r w:rsidRPr="00D16636">
        <w:rPr>
          <w:rFonts w:cs="Noto Sans"/>
          <w:b/>
          <w:color w:val="C30045"/>
        </w:rPr>
        <w:t>42</w:t>
      </w:r>
      <w:r w:rsidRPr="00D16636">
        <w:rPr>
          <w:rFonts w:cs="Noto Sans"/>
        </w:rPr>
        <w:t xml:space="preserve"> estimen totalment la sol·licitud, </w:t>
      </w:r>
      <w:r w:rsidRPr="00D16636">
        <w:rPr>
          <w:rFonts w:cs="Noto Sans"/>
          <w:b/>
          <w:color w:val="C30045"/>
        </w:rPr>
        <w:t xml:space="preserve">6 </w:t>
      </w:r>
      <w:r w:rsidRPr="00D16636">
        <w:rPr>
          <w:rFonts w:cs="Noto Sans"/>
        </w:rPr>
        <w:t xml:space="preserve">l’estimen de </w:t>
      </w:r>
      <w:r w:rsidR="00F60FBD">
        <w:rPr>
          <w:rFonts w:cs="Noto Sans"/>
        </w:rPr>
        <w:t>manera</w:t>
      </w:r>
      <w:r w:rsidRPr="00D16636">
        <w:rPr>
          <w:rFonts w:cs="Noto Sans"/>
        </w:rPr>
        <w:t xml:space="preserve"> parcial, </w:t>
      </w:r>
      <w:r w:rsidRPr="00D16636">
        <w:rPr>
          <w:rFonts w:cs="Noto Sans"/>
          <w:b/>
          <w:color w:val="C30045"/>
        </w:rPr>
        <w:t>1</w:t>
      </w:r>
      <w:r w:rsidRPr="00D16636">
        <w:rPr>
          <w:rFonts w:cs="Noto Sans"/>
          <w:b/>
        </w:rPr>
        <w:t xml:space="preserve"> </w:t>
      </w:r>
      <w:r w:rsidRPr="00D16636">
        <w:rPr>
          <w:rFonts w:cs="Noto Sans"/>
        </w:rPr>
        <w:t xml:space="preserve">és desestimatòria i </w:t>
      </w:r>
      <w:r w:rsidRPr="00D16636">
        <w:rPr>
          <w:rFonts w:cs="Noto Sans"/>
          <w:b/>
          <w:color w:val="C30045"/>
        </w:rPr>
        <w:t>1</w:t>
      </w:r>
      <w:r w:rsidRPr="00D16636">
        <w:rPr>
          <w:rFonts w:cs="Noto Sans"/>
        </w:rPr>
        <w:t xml:space="preserve"> és una inadmissió per concurrència d’una de les circumstàncies de l’article 18 de la Llei 19/2013, de 9 de desembre. </w:t>
      </w:r>
    </w:p>
    <w:p w:rsidR="00C733FD" w:rsidRDefault="00F60FBD" w:rsidP="00772CB3">
      <w:pPr>
        <w:rPr>
          <w:rFonts w:ascii="LegacySanITCBoo" w:hAnsi="LegacySanITCBoo"/>
          <w:color w:val="C30045"/>
          <w:sz w:val="26"/>
          <w:szCs w:val="26"/>
        </w:rPr>
      </w:pPr>
      <w:r>
        <w:rPr>
          <w:rFonts w:cs="Noto Sans"/>
        </w:rPr>
        <w:lastRenderedPageBreak/>
        <w:t>D’</w:t>
      </w:r>
      <w:r w:rsidR="00C733FD" w:rsidRPr="00D16636">
        <w:rPr>
          <w:rFonts w:cs="Noto Sans"/>
        </w:rPr>
        <w:t xml:space="preserve">altra banda, i dins la categoria </w:t>
      </w:r>
      <w:r>
        <w:rPr>
          <w:rFonts w:cs="Noto Sans"/>
        </w:rPr>
        <w:t>«A</w:t>
      </w:r>
      <w:r w:rsidR="00C733FD" w:rsidRPr="00F60FBD">
        <w:rPr>
          <w:rFonts w:cs="Noto Sans"/>
        </w:rPr>
        <w:t>ltres formes de finalització</w:t>
      </w:r>
      <w:r>
        <w:rPr>
          <w:rFonts w:cs="Noto Sans"/>
        </w:rPr>
        <w:t>»</w:t>
      </w:r>
      <w:r w:rsidR="00C733FD" w:rsidRPr="00D16636">
        <w:rPr>
          <w:rFonts w:cs="Noto Sans"/>
          <w:i/>
        </w:rPr>
        <w:t>,</w:t>
      </w:r>
      <w:r w:rsidR="00C733FD" w:rsidRPr="00D16636">
        <w:rPr>
          <w:rFonts w:cs="Noto Sans"/>
        </w:rPr>
        <w:t xml:space="preserve"> hi consten </w:t>
      </w:r>
      <w:r w:rsidR="00C733FD" w:rsidRPr="00D16636">
        <w:rPr>
          <w:rFonts w:cs="Noto Sans"/>
          <w:b/>
          <w:color w:val="C30045"/>
        </w:rPr>
        <w:t>6</w:t>
      </w:r>
      <w:r w:rsidR="00C733FD" w:rsidRPr="00D16636">
        <w:rPr>
          <w:rFonts w:cs="Noto Sans"/>
        </w:rPr>
        <w:t xml:space="preserve"> sol·licituds que s’han derivat als procediments corresponents; </w:t>
      </w:r>
      <w:r w:rsidR="00C733FD" w:rsidRPr="00D16636">
        <w:rPr>
          <w:rFonts w:cs="Noto Sans"/>
          <w:b/>
          <w:color w:val="C30045"/>
        </w:rPr>
        <w:t>1</w:t>
      </w:r>
      <w:r w:rsidR="00C733FD" w:rsidRPr="00D16636">
        <w:rPr>
          <w:rFonts w:cs="Noto Sans"/>
        </w:rPr>
        <w:t xml:space="preserve"> arxivada </w:t>
      </w:r>
      <w:r w:rsidR="00772CB3">
        <w:rPr>
          <w:rFonts w:cs="Noto Sans"/>
        </w:rPr>
        <w:t>perquè no s’ha esmenat</w:t>
      </w:r>
      <w:r w:rsidR="00C733FD" w:rsidRPr="00D16636">
        <w:rPr>
          <w:rFonts w:cs="Noto Sans"/>
        </w:rPr>
        <w:t xml:space="preserve">; </w:t>
      </w:r>
      <w:r w:rsidR="00C733FD" w:rsidRPr="00D16636">
        <w:rPr>
          <w:rFonts w:cs="Noto Sans"/>
          <w:b/>
          <w:color w:val="C30045"/>
        </w:rPr>
        <w:t xml:space="preserve">1 </w:t>
      </w:r>
      <w:r w:rsidR="00C733FD" w:rsidRPr="00D16636">
        <w:rPr>
          <w:rFonts w:cs="Noto Sans"/>
        </w:rPr>
        <w:t xml:space="preserve">arxivada per desistiment; </w:t>
      </w:r>
      <w:r w:rsidR="00C733FD" w:rsidRPr="00D16636">
        <w:rPr>
          <w:rFonts w:cs="Noto Sans"/>
          <w:b/>
          <w:color w:val="C30045"/>
        </w:rPr>
        <w:t xml:space="preserve">2 </w:t>
      </w:r>
      <w:r w:rsidR="00C733FD" w:rsidRPr="00D16636">
        <w:rPr>
          <w:rFonts w:cs="Noto Sans"/>
        </w:rPr>
        <w:t xml:space="preserve">sol·licituds de les quals no es disposa de la informació pública sol·licitada; </w:t>
      </w:r>
      <w:r w:rsidR="00C733FD" w:rsidRPr="00D16636">
        <w:rPr>
          <w:rFonts w:cs="Noto Sans"/>
          <w:b/>
          <w:color w:val="C30045"/>
        </w:rPr>
        <w:t>1</w:t>
      </w:r>
      <w:r w:rsidR="00C733FD" w:rsidRPr="00D16636">
        <w:rPr>
          <w:rFonts w:cs="Noto Sans"/>
        </w:rPr>
        <w:t xml:space="preserve"> no es tracta de la informació pública d’acord amb l’article 13 de la Llei 19/2013, de 9 de desembre, i</w:t>
      </w:r>
      <w:r>
        <w:rPr>
          <w:rFonts w:cs="Noto Sans"/>
        </w:rPr>
        <w:t>,</w:t>
      </w:r>
      <w:r w:rsidR="00C733FD" w:rsidRPr="00D16636">
        <w:rPr>
          <w:rFonts w:cs="Noto Sans"/>
        </w:rPr>
        <w:t xml:space="preserve"> finalment</w:t>
      </w:r>
      <w:r>
        <w:rPr>
          <w:rFonts w:cs="Noto Sans"/>
        </w:rPr>
        <w:t>,</w:t>
      </w:r>
      <w:r w:rsidR="00C733FD" w:rsidRPr="00D16636">
        <w:rPr>
          <w:rFonts w:cs="Noto Sans"/>
        </w:rPr>
        <w:t xml:space="preserve"> </w:t>
      </w:r>
      <w:r w:rsidR="00C733FD" w:rsidRPr="00D16636">
        <w:rPr>
          <w:rFonts w:cs="Noto Sans"/>
          <w:b/>
          <w:color w:val="C30045"/>
        </w:rPr>
        <w:t xml:space="preserve">1 </w:t>
      </w:r>
      <w:r w:rsidR="00C733FD" w:rsidRPr="00D16636">
        <w:rPr>
          <w:rFonts w:cs="Noto Sans"/>
        </w:rPr>
        <w:t>tramitada d’acord amb la disposició</w:t>
      </w:r>
      <w:r w:rsidR="00C733FD">
        <w:rPr>
          <w:rFonts w:cs="Noto Sans"/>
        </w:rPr>
        <w:t xml:space="preserve"> addicional primera de la Llei 19/2013, de 9 de desembre.</w:t>
      </w:r>
    </w:p>
    <w:p w:rsidR="00C733FD" w:rsidRDefault="00D94EB6" w:rsidP="00F60FBD">
      <w:pPr>
        <w:jc w:val="both"/>
        <w:rPr>
          <w:rFonts w:ascii="LegacySanITCBoo" w:hAnsi="LegacySanITCBoo"/>
          <w:color w:val="C30045"/>
          <w:sz w:val="26"/>
          <w:szCs w:val="26"/>
        </w:rPr>
      </w:pPr>
      <w:r w:rsidRPr="00D94EB6">
        <w:rPr>
          <w:rFonts w:ascii="LegacySanITCBoo" w:hAnsi="LegacySanITCBoo"/>
          <w:b/>
          <w:i/>
          <w:noProof/>
          <w:color w:val="C30045"/>
          <w:sz w:val="26"/>
          <w:szCs w:val="26"/>
          <w:lang w:eastAsia="es-ES"/>
        </w:rPr>
        <w:pict>
          <v:shape id="_x0000_s1056" type="#_x0000_t202" style="position:absolute;left:0;text-align:left;margin-left:-1.05pt;margin-top:18.1pt;width:129.75pt;height:26.1pt;z-index:251671552;mso-position-horizontal-relative:text;mso-position-vertical-relative:text" filled="f" stroked="f">
            <v:textbox style="mso-next-textbox:#_x0000_s1056">
              <w:txbxContent>
                <w:p w:rsidR="00E56BD0" w:rsidRPr="009C4C00" w:rsidRDefault="00E56BD0" w:rsidP="00F60FBD">
                  <w:pPr>
                    <w:rPr>
                      <w:rFonts w:cs="Noto Sans"/>
                      <w:b/>
                      <w:color w:val="808080" w:themeColor="background1" w:themeShade="80"/>
                      <w:sz w:val="18"/>
                      <w:szCs w:val="18"/>
                    </w:rPr>
                  </w:pPr>
                  <w:r w:rsidRPr="009C4C00">
                    <w:rPr>
                      <w:rFonts w:cs="Noto Sans"/>
                      <w:b/>
                      <w:color w:val="808080" w:themeColor="background1" w:themeShade="80"/>
                      <w:sz w:val="18"/>
                      <w:szCs w:val="18"/>
                    </w:rPr>
                    <w:t>Sentit de les  resolucions</w:t>
                  </w:r>
                </w:p>
              </w:txbxContent>
            </v:textbox>
          </v:shape>
        </w:pict>
      </w:r>
    </w:p>
    <w:p w:rsidR="00C733FD" w:rsidRDefault="00D94EB6" w:rsidP="00F60FBD">
      <w:pPr>
        <w:jc w:val="both"/>
        <w:rPr>
          <w:rFonts w:ascii="LegacySanITCBoo" w:hAnsi="LegacySanITCBoo"/>
          <w:color w:val="C30045"/>
          <w:sz w:val="26"/>
          <w:szCs w:val="26"/>
        </w:rPr>
      </w:pPr>
      <w:r w:rsidRPr="00D94EB6">
        <w:rPr>
          <w:rFonts w:ascii="LegacySanITCBoo" w:hAnsi="LegacySanITCBoo"/>
          <w:b/>
          <w:i/>
          <w:noProof/>
          <w:color w:val="C30045"/>
          <w:sz w:val="26"/>
          <w:szCs w:val="26"/>
          <w:lang w:eastAsia="es-ES"/>
        </w:rPr>
        <w:pict>
          <v:shape id="_x0000_s1057" type="#_x0000_t202" style="position:absolute;left:0;text-align:left;margin-left:221.45pt;margin-top:2.6pt;width:184.75pt;height:20.25pt;z-index:251672576;mso-position-horizontal:absolute" stroked="f">
            <v:textbox style="mso-next-textbox:#_x0000_s1057">
              <w:txbxContent>
                <w:p w:rsidR="00E56BD0" w:rsidRPr="009C4C00" w:rsidRDefault="00E56BD0">
                  <w:pPr>
                    <w:rPr>
                      <w:color w:val="808080" w:themeColor="background1" w:themeShade="80"/>
                      <w:sz w:val="18"/>
                      <w:szCs w:val="18"/>
                    </w:rPr>
                  </w:pPr>
                  <w:r w:rsidRPr="009C4C00">
                    <w:rPr>
                      <w:rFonts w:cs="Noto Sans"/>
                      <w:b/>
                      <w:color w:val="808080" w:themeColor="background1" w:themeShade="80"/>
                      <w:sz w:val="18"/>
                      <w:szCs w:val="18"/>
                    </w:rPr>
                    <w:t>Altres formes de finalització</w:t>
                  </w:r>
                </w:p>
              </w:txbxContent>
            </v:textbox>
          </v:shape>
        </w:pict>
      </w:r>
    </w:p>
    <w:tbl>
      <w:tblPr>
        <w:tblStyle w:val="Tablaconcuadrcu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322"/>
      </w:tblGrid>
      <w:tr w:rsidR="00C733FD" w:rsidTr="00F60FBD">
        <w:trPr>
          <w:trHeight w:val="4013"/>
        </w:trPr>
        <w:tc>
          <w:tcPr>
            <w:tcW w:w="4322" w:type="dxa"/>
          </w:tcPr>
          <w:p w:rsidR="00C733FD" w:rsidRPr="00753CC6" w:rsidRDefault="00271240" w:rsidP="00F60FBD">
            <w:pPr>
              <w:rPr>
                <w:rFonts w:ascii="LegacySanITCBoo" w:hAnsi="LegacySanITCBoo"/>
                <w:sz w:val="26"/>
                <w:szCs w:val="26"/>
              </w:rPr>
            </w:pPr>
            <w:r w:rsidRPr="00D94EB6">
              <w:rPr>
                <w:rFonts w:ascii="LegacySanITCBoo" w:hAnsi="LegacySanITCBoo"/>
                <w:b/>
                <w:i/>
                <w:noProof/>
                <w:color w:val="C30045"/>
                <w:sz w:val="26"/>
                <w:szCs w:val="26"/>
                <w:lang w:eastAsia="es-ES"/>
              </w:rPr>
              <w:pict>
                <v:shape id="_x0000_s1049" type="#_x0000_t202" style="position:absolute;margin-left:195pt;margin-top:10.65pt;width:250.15pt;height:255.1pt;z-index:251664384;mso-position-horizontal-relative:text;mso-position-vertical-relative:text" stroked="f">
                  <v:textbox style="mso-next-textbox:#_x0000_s1049">
                    <w:txbxContent>
                      <w:p w:rsidR="00E56BD0" w:rsidRDefault="00271240">
                        <w:r w:rsidRPr="00271240">
                          <w:drawing>
                            <wp:inline distT="0" distB="0" distL="0" distR="0">
                              <wp:extent cx="3035808" cy="3057754"/>
                              <wp:effectExtent l="0" t="0" r="0" b="0"/>
                              <wp:docPr id="3" name="Gráfico 1"/>
                              <wp:cNvGraphicFramePr/>
                              <a:graphic xmlns:a="http://schemas.openxmlformats.org/drawingml/2006/main">
                                <a:graphicData uri="http://schemas.openxmlformats.org/drawingml/2006/chart">
                                  <c:chart xmlns:c="http://schemas.openxmlformats.org/drawingml/2006/chart" xmlns:r="http://schemas.openxmlformats.org/officeDocument/2006/relationships" r:id="rId10"/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D94EB6" w:rsidRPr="00D94EB6">
              <w:rPr>
                <w:rFonts w:ascii="LegacySanITCBoo" w:hAnsi="LegacySanITCBoo"/>
                <w:b/>
                <w:i/>
                <w:noProof/>
                <w:color w:val="C30045"/>
                <w:sz w:val="26"/>
                <w:szCs w:val="26"/>
                <w:lang w:eastAsia="es-ES"/>
              </w:rPr>
              <w:pict>
                <v:shape id="_x0000_s1048" type="#_x0000_t202" style="position:absolute;margin-left:-14.2pt;margin-top:10.65pt;width:445.5pt;height:267pt;z-index:251663360;mso-position-horizontal-relative:text;mso-position-vertical-relative:text;mso-width-relative:margin;mso-height-relative:margin" stroked="f">
                  <v:textbox style="mso-next-textbox:#_x0000_s1048">
                    <w:txbxContent>
                      <w:p w:rsidR="00E56BD0" w:rsidRDefault="00E56BD0" w:rsidP="00F60FBD">
                        <w:pPr>
                          <w:ind w:hanging="142"/>
                          <w:rPr>
                            <w:b/>
                            <w:color w:val="C30045"/>
                            <w:sz w:val="20"/>
                            <w:szCs w:val="20"/>
                          </w:rPr>
                        </w:pPr>
                        <w:r w:rsidRPr="000349EF">
                          <w:rPr>
                            <w:rFonts w:cs="Noto Sans"/>
                            <w:b/>
                            <w:color w:val="C30045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b/>
                            <w:color w:val="C30045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b/>
                            <w:color w:val="C30045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b/>
                            <w:color w:val="C30045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b/>
                            <w:color w:val="C30045"/>
                            <w:sz w:val="20"/>
                            <w:szCs w:val="20"/>
                          </w:rPr>
                          <w:tab/>
                        </w:r>
                        <w:r w:rsidRPr="000349EF">
                          <w:rPr>
                            <w:rFonts w:cs="Noto Sans"/>
                            <w:b/>
                            <w:color w:val="C30045"/>
                            <w:sz w:val="20"/>
                            <w:szCs w:val="20"/>
                          </w:rPr>
                          <w:tab/>
                        </w:r>
                      </w:p>
                      <w:p w:rsidR="00E56BD0" w:rsidRDefault="00E56BD0" w:rsidP="00F60FBD">
                        <w:pPr>
                          <w:ind w:hanging="142"/>
                          <w:rPr>
                            <w:b/>
                            <w:color w:val="C30045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C30045"/>
                            <w:sz w:val="20"/>
                            <w:szCs w:val="20"/>
                          </w:rPr>
                          <w:tab/>
                        </w:r>
                        <w:r w:rsidRPr="007E4082">
                          <w:rPr>
                            <w:b/>
                            <w:noProof/>
                            <w:color w:val="C30045"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>
                              <wp:extent cx="2318919" cy="3057753"/>
                              <wp:effectExtent l="0" t="0" r="0" b="0"/>
                              <wp:docPr id="8" name="Gráfico 1"/>
                              <wp:cNvGraphicFramePr/>
                              <a:graphic xmlns:a="http://schemas.openxmlformats.org/drawingml/2006/main">
                                <a:graphicData uri="http://schemas.openxmlformats.org/drawingml/2006/chart">
                                  <c:chart xmlns:c="http://schemas.openxmlformats.org/drawingml/2006/chart" xmlns:r="http://schemas.openxmlformats.org/officeDocument/2006/relationships" r:id="rId11"/>
                                </a:graphicData>
                              </a:graphic>
                            </wp:inline>
                          </w:drawing>
                        </w:r>
                      </w:p>
                      <w:p w:rsidR="00E56BD0" w:rsidRDefault="00E56BD0" w:rsidP="00F60FBD">
                        <w:pPr>
                          <w:ind w:hanging="142"/>
                          <w:rPr>
                            <w:b/>
                            <w:color w:val="C30045"/>
                            <w:sz w:val="20"/>
                            <w:szCs w:val="20"/>
                          </w:rPr>
                        </w:pPr>
                      </w:p>
                      <w:p w:rsidR="00E56BD0" w:rsidRDefault="00E56BD0" w:rsidP="00F60FBD">
                        <w:pPr>
                          <w:ind w:hanging="142"/>
                          <w:rPr>
                            <w:b/>
                            <w:color w:val="C30045"/>
                            <w:sz w:val="20"/>
                            <w:szCs w:val="20"/>
                          </w:rPr>
                        </w:pPr>
                      </w:p>
                      <w:p w:rsidR="00E56BD0" w:rsidRDefault="00E56BD0" w:rsidP="00F60FBD">
                        <w:pPr>
                          <w:ind w:hanging="142"/>
                          <w:rPr>
                            <w:b/>
                            <w:color w:val="C30045"/>
                            <w:sz w:val="20"/>
                            <w:szCs w:val="20"/>
                          </w:rPr>
                        </w:pPr>
                      </w:p>
                      <w:p w:rsidR="00E56BD0" w:rsidRDefault="00E56BD0" w:rsidP="00F60FBD">
                        <w:pPr>
                          <w:ind w:hanging="142"/>
                          <w:rPr>
                            <w:b/>
                            <w:color w:val="C30045"/>
                            <w:sz w:val="20"/>
                            <w:szCs w:val="20"/>
                          </w:rPr>
                        </w:pPr>
                      </w:p>
                      <w:p w:rsidR="00E56BD0" w:rsidRDefault="00E56BD0" w:rsidP="00F60FBD">
                        <w:pPr>
                          <w:ind w:hanging="142"/>
                          <w:rPr>
                            <w:b/>
                            <w:color w:val="C30045"/>
                            <w:sz w:val="20"/>
                            <w:szCs w:val="20"/>
                          </w:rPr>
                        </w:pPr>
                      </w:p>
                      <w:p w:rsidR="00E56BD0" w:rsidRDefault="00E56BD0" w:rsidP="00F60FBD">
                        <w:pPr>
                          <w:ind w:hanging="142"/>
                          <w:rPr>
                            <w:b/>
                            <w:color w:val="C30045"/>
                            <w:sz w:val="20"/>
                            <w:szCs w:val="20"/>
                          </w:rPr>
                        </w:pPr>
                      </w:p>
                      <w:p w:rsidR="00E56BD0" w:rsidRPr="00B22D38" w:rsidRDefault="00E56BD0" w:rsidP="00F60FBD">
                        <w:pPr>
                          <w:ind w:hanging="142"/>
                          <w:rPr>
                            <w:b/>
                            <w:color w:val="C30045"/>
                            <w:sz w:val="20"/>
                            <w:szCs w:val="20"/>
                          </w:rPr>
                        </w:pPr>
                      </w:p>
                      <w:p w:rsidR="00E56BD0" w:rsidRPr="00372F2C" w:rsidRDefault="00E56BD0" w:rsidP="00F60FBD"/>
                    </w:txbxContent>
                  </v:textbox>
                </v:shape>
              </w:pict>
            </w:r>
            <w:r w:rsidR="00D94EB6" w:rsidRPr="00D94EB6">
              <w:rPr>
                <w:rFonts w:ascii="LegacySanITCBoo" w:hAnsi="LegacySanITCBoo"/>
                <w:b/>
                <w:i/>
                <w:noProof/>
                <w:color w:val="C30045"/>
                <w:sz w:val="26"/>
                <w:szCs w:val="26"/>
                <w:lang w:eastAsia="es-ES"/>
              </w:rPr>
              <w:pict>
                <v:shape id="_x0000_s1047" type="#_x0000_t202" style="position:absolute;margin-left:-23.95pt;margin-top:7.7pt;width:234.75pt;height:111.05pt;z-index:251662336;mso-width-relative:margin;mso-height-relative:margin" stroked="f">
                  <v:textbox style="mso-next-textbox:#_x0000_s1047">
                    <w:txbxContent>
                      <w:p w:rsidR="00E56BD0" w:rsidRPr="00C21887" w:rsidRDefault="00E56BD0" w:rsidP="00F60FBD">
                        <w:pPr>
                          <w:ind w:left="284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21887">
                          <w:rPr>
                            <w:sz w:val="24"/>
                            <w:szCs w:val="24"/>
                          </w:rPr>
                          <w:t>Quant al termini de tramitació, a dia 31 de desembre de 2016, s’havien tramitat fora de termini 30 sol·licituds, i 32 dins el termini d’un mes establert a la normativa.</w:t>
                        </w:r>
                      </w:p>
                      <w:p w:rsidR="00E56BD0" w:rsidRPr="00372F2C" w:rsidRDefault="00E56BD0" w:rsidP="00F60FBD"/>
                    </w:txbxContent>
                  </v:textbox>
                </v:shape>
              </w:pict>
            </w:r>
          </w:p>
        </w:tc>
        <w:tc>
          <w:tcPr>
            <w:tcW w:w="4322" w:type="dxa"/>
          </w:tcPr>
          <w:p w:rsidR="00C733FD" w:rsidRDefault="00C733FD" w:rsidP="00F60FBD">
            <w:pPr>
              <w:tabs>
                <w:tab w:val="left" w:pos="7635"/>
              </w:tabs>
              <w:spacing w:before="240"/>
              <w:jc w:val="both"/>
              <w:rPr>
                <w:rFonts w:ascii="LegacySanITCBoo" w:hAnsi="LegacySanITCBoo"/>
                <w:color w:val="C30045"/>
                <w:sz w:val="26"/>
                <w:szCs w:val="26"/>
              </w:rPr>
            </w:pPr>
            <w:r w:rsidRPr="00776EB7">
              <w:rPr>
                <w:rFonts w:ascii="LegacySanITCBoo" w:hAnsi="LegacySanITCBoo"/>
                <w:noProof/>
                <w:color w:val="C30045"/>
                <w:sz w:val="26"/>
                <w:szCs w:val="26"/>
                <w:lang w:val="es-ES" w:eastAsia="es-ES"/>
              </w:rPr>
              <w:drawing>
                <wp:inline distT="0" distB="0" distL="0" distR="0">
                  <wp:extent cx="2543175" cy="1600200"/>
                  <wp:effectExtent l="0" t="0" r="0" b="0"/>
                  <wp:docPr id="14" name="Gráfico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C733FD" w:rsidRDefault="00C733FD" w:rsidP="00F60FBD">
      <w:pPr>
        <w:ind w:left="-142"/>
        <w:jc w:val="both"/>
        <w:rPr>
          <w:rFonts w:cs="Noto Sans"/>
          <w:sz w:val="24"/>
          <w:szCs w:val="24"/>
        </w:rPr>
      </w:pPr>
    </w:p>
    <w:p w:rsidR="00C733FD" w:rsidRDefault="00C733FD" w:rsidP="00F60FBD">
      <w:pPr>
        <w:ind w:left="-142"/>
        <w:jc w:val="both"/>
        <w:rPr>
          <w:rFonts w:cs="Noto Sans"/>
          <w:sz w:val="24"/>
          <w:szCs w:val="24"/>
        </w:rPr>
      </w:pPr>
    </w:p>
    <w:p w:rsidR="00C733FD" w:rsidRDefault="00C733FD" w:rsidP="00F60FBD">
      <w:pPr>
        <w:ind w:left="-142"/>
        <w:jc w:val="both"/>
        <w:rPr>
          <w:rFonts w:cs="Noto Sans"/>
          <w:sz w:val="24"/>
          <w:szCs w:val="24"/>
        </w:rPr>
      </w:pPr>
    </w:p>
    <w:p w:rsidR="00C733FD" w:rsidRDefault="00C733FD" w:rsidP="00F60FBD">
      <w:pPr>
        <w:ind w:left="-142"/>
        <w:jc w:val="both"/>
        <w:rPr>
          <w:rFonts w:cs="Noto Sans"/>
          <w:sz w:val="24"/>
          <w:szCs w:val="24"/>
        </w:rPr>
      </w:pPr>
    </w:p>
    <w:p w:rsidR="00C733FD" w:rsidRDefault="00C733FD" w:rsidP="00F60FBD">
      <w:pPr>
        <w:ind w:left="-142"/>
        <w:jc w:val="both"/>
        <w:rPr>
          <w:rFonts w:cs="Noto Sans"/>
          <w:sz w:val="24"/>
          <w:szCs w:val="24"/>
        </w:rPr>
      </w:pPr>
    </w:p>
    <w:p w:rsidR="00C733FD" w:rsidRDefault="00C733FD" w:rsidP="00F60FBD">
      <w:pPr>
        <w:ind w:hanging="142"/>
        <w:rPr>
          <w:rFonts w:cs="Noto Sans"/>
          <w:b/>
          <w:i/>
          <w:color w:val="C30045"/>
        </w:rPr>
      </w:pPr>
      <w:r w:rsidRPr="00764F17">
        <w:rPr>
          <w:rFonts w:cs="Noto Sans"/>
          <w:b/>
          <w:i/>
          <w:color w:val="C30045"/>
        </w:rPr>
        <w:t>Terminis</w:t>
      </w:r>
    </w:p>
    <w:p w:rsidR="00910FA7" w:rsidRPr="00764F17" w:rsidRDefault="00910FA7" w:rsidP="00F60FBD">
      <w:pPr>
        <w:ind w:hanging="142"/>
        <w:rPr>
          <w:rFonts w:cs="Noto Sans"/>
          <w:b/>
          <w:i/>
          <w:color w:val="C30045"/>
        </w:rPr>
      </w:pPr>
    </w:p>
    <w:p w:rsidR="00C733FD" w:rsidRDefault="00C733FD" w:rsidP="00772CB3">
      <w:pPr>
        <w:ind w:left="-142"/>
        <w:rPr>
          <w:rFonts w:cs="Noto Sans"/>
        </w:rPr>
      </w:pPr>
      <w:r w:rsidRPr="00764F17">
        <w:rPr>
          <w:rFonts w:cs="Noto Sans"/>
        </w:rPr>
        <w:t xml:space="preserve">La mitjana del temps de tramitació de les sol·licituds d’accés a la informació pública durant l’any 2016 ha </w:t>
      </w:r>
      <w:r w:rsidR="00910FA7">
        <w:rPr>
          <w:rFonts w:cs="Noto Sans"/>
        </w:rPr>
        <w:t>estat</w:t>
      </w:r>
      <w:r w:rsidRPr="00764F17">
        <w:rPr>
          <w:rFonts w:cs="Noto Sans"/>
        </w:rPr>
        <w:t xml:space="preserve"> de</w:t>
      </w:r>
      <w:r w:rsidRPr="00764F17">
        <w:rPr>
          <w:rFonts w:cs="Noto Sans"/>
          <w:b/>
          <w:i/>
          <w:color w:val="C30045"/>
        </w:rPr>
        <w:t xml:space="preserve"> </w:t>
      </w:r>
      <w:r w:rsidRPr="00910FA7">
        <w:rPr>
          <w:rFonts w:cs="Noto Sans"/>
          <w:b/>
          <w:color w:val="C30045"/>
        </w:rPr>
        <w:t>38</w:t>
      </w:r>
      <w:r w:rsidRPr="00910FA7">
        <w:rPr>
          <w:rFonts w:cs="Noto Sans"/>
        </w:rPr>
        <w:t xml:space="preserve"> </w:t>
      </w:r>
      <w:r w:rsidRPr="00764F17">
        <w:rPr>
          <w:rFonts w:cs="Noto Sans"/>
        </w:rPr>
        <w:t xml:space="preserve">dies. </w:t>
      </w:r>
    </w:p>
    <w:p w:rsidR="00910FA7" w:rsidRPr="00764F17" w:rsidRDefault="00910FA7" w:rsidP="00772CB3">
      <w:pPr>
        <w:ind w:left="-142"/>
        <w:rPr>
          <w:rFonts w:cs="Noto Sans"/>
        </w:rPr>
      </w:pPr>
    </w:p>
    <w:p w:rsidR="00C733FD" w:rsidRPr="00764F17" w:rsidRDefault="00C733FD" w:rsidP="00772CB3">
      <w:pPr>
        <w:ind w:left="-142"/>
        <w:rPr>
          <w:rFonts w:cs="Noto Sans"/>
        </w:rPr>
      </w:pPr>
      <w:r w:rsidRPr="00764F17">
        <w:rPr>
          <w:rFonts w:cs="Noto Sans"/>
        </w:rPr>
        <w:t>A 31 de desembre no hi havia cap sol·licitud resolta per silenci administratiu.</w:t>
      </w:r>
    </w:p>
    <w:p w:rsidR="00C733FD" w:rsidRPr="00764F17" w:rsidRDefault="00C733FD" w:rsidP="00F60FBD">
      <w:pPr>
        <w:ind w:left="-142"/>
        <w:jc w:val="both"/>
        <w:rPr>
          <w:rFonts w:cs="Noto Sans"/>
          <w:b/>
          <w:i/>
        </w:rPr>
      </w:pPr>
    </w:p>
    <w:p w:rsidR="00896B98" w:rsidRDefault="00896B98" w:rsidP="00F60FBD">
      <w:pPr>
        <w:ind w:left="-142"/>
        <w:jc w:val="both"/>
        <w:rPr>
          <w:rFonts w:cs="Noto Sans"/>
          <w:b/>
          <w:i/>
          <w:color w:val="C30045"/>
        </w:rPr>
      </w:pPr>
    </w:p>
    <w:p w:rsidR="00896B98" w:rsidRDefault="00896B98" w:rsidP="00F60FBD">
      <w:pPr>
        <w:ind w:left="-142"/>
        <w:jc w:val="both"/>
        <w:rPr>
          <w:rFonts w:cs="Noto Sans"/>
          <w:b/>
          <w:i/>
          <w:color w:val="C30045"/>
        </w:rPr>
      </w:pPr>
    </w:p>
    <w:p w:rsidR="00C733FD" w:rsidRPr="00764F17" w:rsidRDefault="00D94EB6" w:rsidP="00F60FBD">
      <w:pPr>
        <w:ind w:left="-142"/>
        <w:jc w:val="both"/>
        <w:rPr>
          <w:rFonts w:cs="Noto Sans"/>
        </w:rPr>
      </w:pPr>
      <w:r w:rsidRPr="00D94EB6">
        <w:rPr>
          <w:rFonts w:cs="Noto Sans"/>
          <w:noProof/>
          <w:color w:val="C30045"/>
          <w:sz w:val="24"/>
          <w:szCs w:val="24"/>
          <w:lang w:val="es-ES" w:eastAsia="es-ES"/>
        </w:rPr>
        <w:pict>
          <v:shape id="_x0000_s1059" type="#_x0000_t202" style="position:absolute;left:0;text-align:left;margin-left:235.3pt;margin-top:9.3pt;width:182.4pt;height:2in;z-index:251674624" stroked="f">
            <v:textbox style="mso-next-textbox:#_x0000_s1059">
              <w:txbxContent>
                <w:p w:rsidR="00E56BD0" w:rsidRDefault="00E56BD0">
                  <w:r w:rsidRPr="00E64220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2428646" cy="1477671"/>
                        <wp:effectExtent l="0" t="0" r="0" b="0"/>
                        <wp:docPr id="43" name="Gráfico 3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3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733FD" w:rsidRPr="00764F17">
        <w:rPr>
          <w:rFonts w:cs="Noto Sans"/>
          <w:b/>
          <w:i/>
          <w:color w:val="C30045"/>
        </w:rPr>
        <w:t xml:space="preserve">Idioma </w:t>
      </w:r>
      <w:r w:rsidR="00910FA7">
        <w:rPr>
          <w:rFonts w:cs="Noto Sans"/>
          <w:b/>
          <w:i/>
          <w:color w:val="C30045"/>
        </w:rPr>
        <w:t xml:space="preserve">de les </w:t>
      </w:r>
      <w:r w:rsidR="00C733FD" w:rsidRPr="00764F17">
        <w:rPr>
          <w:rFonts w:cs="Noto Sans"/>
          <w:b/>
          <w:i/>
          <w:color w:val="C30045"/>
        </w:rPr>
        <w:t>sol·licituds presentades</w:t>
      </w:r>
    </w:p>
    <w:p w:rsidR="00C733FD" w:rsidRDefault="00D94EB6" w:rsidP="00F60FBD">
      <w:pPr>
        <w:tabs>
          <w:tab w:val="left" w:pos="7005"/>
        </w:tabs>
        <w:ind w:left="-142"/>
        <w:jc w:val="both"/>
        <w:rPr>
          <w:rFonts w:cs="Noto Sans"/>
          <w:sz w:val="24"/>
          <w:szCs w:val="24"/>
        </w:rPr>
      </w:pPr>
      <w:r w:rsidRPr="00D94EB6">
        <w:rPr>
          <w:rFonts w:cs="Noto Sans"/>
          <w:noProof/>
          <w:color w:val="C30045"/>
          <w:lang w:val="es-ES" w:eastAsia="es-ES"/>
        </w:rPr>
        <w:pict>
          <v:shape id="_x0000_s1058" type="#_x0000_t202" style="position:absolute;left:0;text-align:left;margin-left:-16.05pt;margin-top:3.75pt;width:257.25pt;height:66.6pt;z-index:251673600" stroked="f">
            <v:textbox style="mso-next-textbox:#_x0000_s1058">
              <w:txbxContent>
                <w:p w:rsidR="00E56BD0" w:rsidRPr="00764F17" w:rsidRDefault="00E56BD0" w:rsidP="00772CB3">
                  <w:pPr>
                    <w:rPr>
                      <w:rFonts w:cs="Noto Sans"/>
                      <w:b/>
                      <w:i/>
                    </w:rPr>
                  </w:pPr>
                  <w:r w:rsidRPr="00764F17">
                    <w:t>De les sol·licituds presentades</w:t>
                  </w:r>
                  <w:r>
                    <w:t>,</w:t>
                  </w:r>
                  <w:r w:rsidRPr="00764F17">
                    <w:t xml:space="preserve"> la majoria de les persones sol·licitants (</w:t>
                  </w:r>
                  <w:r w:rsidRPr="00910FA7">
                    <w:rPr>
                      <w:rFonts w:cs="Noto Sans"/>
                      <w:b/>
                      <w:color w:val="C30045"/>
                    </w:rPr>
                    <w:t>64</w:t>
                  </w:r>
                  <w:r>
                    <w:rPr>
                      <w:rFonts w:cs="Noto Sans"/>
                      <w:b/>
                      <w:color w:val="C30045"/>
                    </w:rPr>
                    <w:t> </w:t>
                  </w:r>
                  <w:r w:rsidRPr="00910FA7">
                    <w:rPr>
                      <w:rFonts w:cs="Noto Sans"/>
                      <w:b/>
                      <w:color w:val="C30045"/>
                    </w:rPr>
                    <w:t>%</w:t>
                  </w:r>
                  <w:r w:rsidRPr="00764F17">
                    <w:t>)</w:t>
                  </w:r>
                  <w:r w:rsidRPr="00764F17">
                    <w:rPr>
                      <w:rFonts w:cs="Noto Sans"/>
                    </w:rPr>
                    <w:t xml:space="preserve"> demana que la informació li sigui tramesa en llengua castellana.</w:t>
                  </w:r>
                </w:p>
                <w:p w:rsidR="00E56BD0" w:rsidRPr="0054328A" w:rsidRDefault="00E56BD0" w:rsidP="00F60FBD">
                  <w:pPr>
                    <w:ind w:left="284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C733FD">
        <w:rPr>
          <w:rFonts w:cs="Noto Sans"/>
          <w:sz w:val="24"/>
          <w:szCs w:val="24"/>
        </w:rPr>
        <w:tab/>
      </w:r>
      <w:r w:rsidR="00C733FD">
        <w:rPr>
          <w:rFonts w:cs="Noto Sans"/>
          <w:sz w:val="24"/>
          <w:szCs w:val="24"/>
        </w:rPr>
        <w:tab/>
      </w:r>
    </w:p>
    <w:p w:rsidR="00C733FD" w:rsidRDefault="00C733FD" w:rsidP="00F60FBD">
      <w:pPr>
        <w:tabs>
          <w:tab w:val="left" w:pos="5835"/>
        </w:tabs>
        <w:ind w:hanging="142"/>
        <w:jc w:val="both"/>
        <w:rPr>
          <w:rFonts w:cs="Noto Sans"/>
          <w:sz w:val="24"/>
          <w:szCs w:val="24"/>
        </w:rPr>
      </w:pPr>
      <w:r>
        <w:rPr>
          <w:rFonts w:cs="Noto Sans"/>
          <w:sz w:val="24"/>
          <w:szCs w:val="24"/>
        </w:rPr>
        <w:tab/>
      </w:r>
      <w:r>
        <w:rPr>
          <w:rFonts w:cs="Noto Sans"/>
          <w:sz w:val="24"/>
          <w:szCs w:val="24"/>
        </w:rPr>
        <w:tab/>
      </w:r>
    </w:p>
    <w:p w:rsidR="00C733FD" w:rsidRPr="00764F17" w:rsidRDefault="00C733FD" w:rsidP="00F60FBD">
      <w:pPr>
        <w:ind w:hanging="142"/>
        <w:rPr>
          <w:rFonts w:cs="Noto Sans"/>
          <w:b/>
          <w:i/>
          <w:color w:val="C30045"/>
        </w:rPr>
      </w:pPr>
    </w:p>
    <w:p w:rsidR="00C733FD" w:rsidRPr="00764F17" w:rsidRDefault="00C733FD" w:rsidP="00F60FBD">
      <w:pPr>
        <w:ind w:hanging="142"/>
        <w:rPr>
          <w:rFonts w:cs="Noto Sans"/>
          <w:b/>
          <w:i/>
          <w:color w:val="C30045"/>
        </w:rPr>
      </w:pPr>
    </w:p>
    <w:p w:rsidR="00910FA7" w:rsidRDefault="00910FA7" w:rsidP="00F60FBD">
      <w:pPr>
        <w:ind w:hanging="142"/>
        <w:rPr>
          <w:rFonts w:cs="Noto Sans"/>
          <w:b/>
          <w:i/>
          <w:color w:val="C30045"/>
        </w:rPr>
      </w:pPr>
    </w:p>
    <w:p w:rsidR="00910FA7" w:rsidRDefault="00910FA7" w:rsidP="00F60FBD">
      <w:pPr>
        <w:ind w:hanging="142"/>
        <w:rPr>
          <w:rFonts w:cs="Noto Sans"/>
          <w:b/>
          <w:i/>
          <w:color w:val="C30045"/>
        </w:rPr>
      </w:pPr>
    </w:p>
    <w:p w:rsidR="00910FA7" w:rsidRDefault="00910FA7" w:rsidP="00F60FBD">
      <w:pPr>
        <w:ind w:hanging="142"/>
        <w:rPr>
          <w:rFonts w:cs="Noto Sans"/>
          <w:b/>
          <w:i/>
          <w:color w:val="C30045"/>
        </w:rPr>
      </w:pPr>
    </w:p>
    <w:p w:rsidR="00910FA7" w:rsidRDefault="00910FA7" w:rsidP="00F60FBD">
      <w:pPr>
        <w:ind w:hanging="142"/>
        <w:rPr>
          <w:rFonts w:cs="Noto Sans"/>
          <w:b/>
          <w:i/>
          <w:color w:val="C30045"/>
        </w:rPr>
      </w:pPr>
    </w:p>
    <w:p w:rsidR="00C733FD" w:rsidRDefault="00C733FD" w:rsidP="00F60FBD">
      <w:pPr>
        <w:ind w:hanging="142"/>
        <w:rPr>
          <w:rFonts w:cs="Noto Sans"/>
          <w:b/>
          <w:i/>
          <w:color w:val="C30045"/>
        </w:rPr>
      </w:pPr>
      <w:r w:rsidRPr="00764F17">
        <w:rPr>
          <w:rFonts w:cs="Noto Sans"/>
          <w:b/>
          <w:i/>
          <w:color w:val="C30045"/>
        </w:rPr>
        <w:t xml:space="preserve">Perfil </w:t>
      </w:r>
      <w:r w:rsidR="00910FA7">
        <w:rPr>
          <w:rFonts w:cs="Noto Sans"/>
          <w:b/>
          <w:i/>
          <w:color w:val="C30045"/>
        </w:rPr>
        <w:t xml:space="preserve">del </w:t>
      </w:r>
      <w:r w:rsidRPr="00764F17">
        <w:rPr>
          <w:rFonts w:cs="Noto Sans"/>
          <w:b/>
          <w:i/>
          <w:color w:val="C30045"/>
        </w:rPr>
        <w:t>sol·licitant</w:t>
      </w:r>
    </w:p>
    <w:p w:rsidR="00910FA7" w:rsidRPr="00764F17" w:rsidRDefault="00910FA7" w:rsidP="00F60FBD">
      <w:pPr>
        <w:ind w:hanging="142"/>
        <w:rPr>
          <w:rFonts w:cs="Noto Sans"/>
          <w:b/>
          <w:i/>
          <w:color w:val="C30045"/>
        </w:rPr>
      </w:pPr>
    </w:p>
    <w:p w:rsidR="00C733FD" w:rsidRPr="00764F17" w:rsidRDefault="00C733FD" w:rsidP="00772CB3">
      <w:pPr>
        <w:ind w:left="-142"/>
        <w:rPr>
          <w:rFonts w:cs="Noto Sans"/>
          <w:noProof/>
          <w:lang w:eastAsia="es-ES"/>
        </w:rPr>
      </w:pPr>
      <w:r w:rsidRPr="00764F17">
        <w:rPr>
          <w:rFonts w:cs="Noto Sans"/>
          <w:noProof/>
          <w:lang w:eastAsia="es-ES"/>
        </w:rPr>
        <w:t xml:space="preserve">De les sol·lictuds presentades per homes, el </w:t>
      </w:r>
      <w:r w:rsidRPr="00910FA7">
        <w:rPr>
          <w:rFonts w:cs="Noto Sans"/>
          <w:b/>
          <w:color w:val="C30045"/>
        </w:rPr>
        <w:t>37</w:t>
      </w:r>
      <w:r w:rsidR="00910FA7">
        <w:rPr>
          <w:rFonts w:cs="Noto Sans"/>
          <w:b/>
          <w:color w:val="C30045"/>
        </w:rPr>
        <w:t> </w:t>
      </w:r>
      <w:r w:rsidRPr="00910FA7">
        <w:rPr>
          <w:rFonts w:cs="Noto Sans"/>
          <w:b/>
          <w:color w:val="C30045"/>
        </w:rPr>
        <w:t>%</w:t>
      </w:r>
      <w:r w:rsidRPr="00764F17">
        <w:rPr>
          <w:rFonts w:cs="Noto Sans"/>
          <w:noProof/>
          <w:lang w:eastAsia="es-ES"/>
        </w:rPr>
        <w:t xml:space="preserve"> correspon a </w:t>
      </w:r>
      <w:r w:rsidR="00910FA7">
        <w:rPr>
          <w:rFonts w:cs="Noto Sans"/>
          <w:noProof/>
          <w:lang w:eastAsia="es-ES"/>
        </w:rPr>
        <w:t>homes</w:t>
      </w:r>
      <w:r w:rsidRPr="00764F17">
        <w:rPr>
          <w:rFonts w:cs="Noto Sans"/>
          <w:noProof/>
          <w:lang w:eastAsia="es-ES"/>
        </w:rPr>
        <w:t xml:space="preserve"> d’entre </w:t>
      </w:r>
      <w:r w:rsidRPr="00764F17">
        <w:rPr>
          <w:rFonts w:cs="Noto Sans"/>
        </w:rPr>
        <w:t>30</w:t>
      </w:r>
      <w:r w:rsidRPr="00764F17">
        <w:rPr>
          <w:rFonts w:cs="Noto Sans"/>
          <w:noProof/>
          <w:lang w:eastAsia="es-ES"/>
        </w:rPr>
        <w:t xml:space="preserve"> i 40 anys</w:t>
      </w:r>
      <w:r w:rsidR="00910FA7">
        <w:rPr>
          <w:rFonts w:cs="Noto Sans"/>
          <w:noProof/>
          <w:lang w:eastAsia="es-ES"/>
        </w:rPr>
        <w:t>,</w:t>
      </w:r>
      <w:r w:rsidRPr="00764F17">
        <w:rPr>
          <w:rFonts w:cs="Noto Sans"/>
          <w:noProof/>
          <w:lang w:eastAsia="es-ES"/>
        </w:rPr>
        <w:t xml:space="preserve"> mentre que de les sol·licituds presentades per dones, el </w:t>
      </w:r>
      <w:r w:rsidRPr="00910FA7">
        <w:rPr>
          <w:rFonts w:cs="Noto Sans"/>
          <w:b/>
          <w:color w:val="C30045"/>
        </w:rPr>
        <w:t>47</w:t>
      </w:r>
      <w:r w:rsidR="00910FA7">
        <w:rPr>
          <w:rFonts w:cs="Noto Sans"/>
          <w:b/>
          <w:color w:val="C30045"/>
        </w:rPr>
        <w:t> </w:t>
      </w:r>
      <w:r w:rsidRPr="00910FA7">
        <w:rPr>
          <w:rFonts w:cs="Noto Sans"/>
          <w:b/>
          <w:color w:val="C30045"/>
        </w:rPr>
        <w:t>%</w:t>
      </w:r>
      <w:r w:rsidRPr="00764F17">
        <w:rPr>
          <w:rFonts w:cs="Noto Sans"/>
          <w:noProof/>
          <w:lang w:eastAsia="es-ES"/>
        </w:rPr>
        <w:t xml:space="preserve"> </w:t>
      </w:r>
      <w:r w:rsidR="00772CB3">
        <w:rPr>
          <w:rFonts w:cs="Noto Sans"/>
          <w:noProof/>
          <w:lang w:eastAsia="es-ES"/>
        </w:rPr>
        <w:t>cor</w:t>
      </w:r>
      <w:r w:rsidRPr="00764F17">
        <w:rPr>
          <w:rFonts w:cs="Noto Sans"/>
          <w:noProof/>
          <w:lang w:eastAsia="es-ES"/>
        </w:rPr>
        <w:t xml:space="preserve">respon a </w:t>
      </w:r>
      <w:r w:rsidR="00910FA7">
        <w:rPr>
          <w:rFonts w:cs="Noto Sans"/>
          <w:noProof/>
          <w:lang w:eastAsia="es-ES"/>
        </w:rPr>
        <w:t>dones</w:t>
      </w:r>
      <w:r w:rsidRPr="00764F17">
        <w:rPr>
          <w:rFonts w:cs="Noto Sans"/>
          <w:noProof/>
          <w:lang w:eastAsia="es-ES"/>
        </w:rPr>
        <w:t xml:space="preserve"> d’entre 50 i 60</w:t>
      </w:r>
      <w:r w:rsidR="00910FA7">
        <w:rPr>
          <w:rFonts w:cs="Noto Sans"/>
          <w:noProof/>
          <w:lang w:eastAsia="es-ES"/>
        </w:rPr>
        <w:t xml:space="preserve"> anys</w:t>
      </w:r>
      <w:r w:rsidRPr="00764F17">
        <w:rPr>
          <w:rFonts w:cs="Noto Sans"/>
          <w:noProof/>
          <w:lang w:eastAsia="es-ES"/>
        </w:rPr>
        <w:t>.</w:t>
      </w:r>
    </w:p>
    <w:p w:rsidR="00C733FD" w:rsidRDefault="00C733FD" w:rsidP="00F60FBD">
      <w:pPr>
        <w:jc w:val="both"/>
        <w:rPr>
          <w:rFonts w:ascii="LegacySanITCBoo" w:hAnsi="LegacySanITCBoo"/>
          <w:noProof/>
          <w:sz w:val="26"/>
          <w:szCs w:val="26"/>
          <w:lang w:eastAsia="es-ES"/>
        </w:rPr>
      </w:pPr>
    </w:p>
    <w:p w:rsidR="00C733FD" w:rsidRDefault="00D94EB6" w:rsidP="00F60FBD">
      <w:pPr>
        <w:jc w:val="both"/>
        <w:rPr>
          <w:rFonts w:ascii="LegacySanITCBoo" w:hAnsi="LegacySanITCBoo"/>
          <w:noProof/>
          <w:sz w:val="26"/>
          <w:szCs w:val="26"/>
          <w:lang w:eastAsia="es-ES"/>
        </w:rPr>
      </w:pPr>
      <w:r>
        <w:rPr>
          <w:rFonts w:ascii="LegacySanITCBoo" w:hAnsi="LegacySanITCBoo"/>
          <w:noProof/>
          <w:sz w:val="26"/>
          <w:szCs w:val="26"/>
          <w:lang w:val="es-ES" w:eastAsia="es-ES"/>
        </w:rPr>
        <w:pict>
          <v:shape id="_x0000_s1071" type="#_x0000_t202" style="position:absolute;left:0;text-align:left;margin-left:180.55pt;margin-top:11.7pt;width:236.75pt;height:18.4pt;z-index:251684864" stroked="f">
            <v:textbox>
              <w:txbxContent>
                <w:p w:rsidR="00E56BD0" w:rsidRPr="00574C0E" w:rsidRDefault="00E56BD0" w:rsidP="00574C0E">
                  <w:pPr>
                    <w:jc w:val="center"/>
                    <w:rPr>
                      <w:b/>
                      <w:color w:val="808080" w:themeColor="background1" w:themeShade="80"/>
                      <w:sz w:val="16"/>
                      <w:szCs w:val="16"/>
                      <w:lang w:val="es-ES"/>
                    </w:rPr>
                  </w:pPr>
                  <w:r w:rsidRPr="00574C0E">
                    <w:rPr>
                      <w:b/>
                      <w:color w:val="808080" w:themeColor="background1" w:themeShade="80"/>
                      <w:sz w:val="16"/>
                      <w:szCs w:val="16"/>
                      <w:lang w:val="es-ES"/>
                    </w:rPr>
                    <w:t>Sol·</w:t>
                  </w:r>
                  <w:r w:rsidRPr="00574C0E">
                    <w:rPr>
                      <w:b/>
                      <w:color w:val="808080" w:themeColor="background1" w:themeShade="80"/>
                      <w:sz w:val="16"/>
                      <w:szCs w:val="16"/>
                    </w:rPr>
                    <w:t>licituds</w:t>
                  </w:r>
                  <w:r w:rsidRPr="00574C0E">
                    <w:rPr>
                      <w:b/>
                      <w:color w:val="808080" w:themeColor="background1" w:themeShade="80"/>
                      <w:sz w:val="16"/>
                      <w:szCs w:val="16"/>
                      <w:lang w:val="es-ES"/>
                    </w:rPr>
                    <w:t xml:space="preserve"> </w:t>
                  </w:r>
                  <w:r w:rsidRPr="00574C0E">
                    <w:rPr>
                      <w:b/>
                      <w:color w:val="808080" w:themeColor="background1" w:themeShade="80"/>
                      <w:sz w:val="16"/>
                      <w:szCs w:val="16"/>
                    </w:rPr>
                    <w:t>presentades</w:t>
                  </w:r>
                  <w:r>
                    <w:rPr>
                      <w:b/>
                      <w:color w:val="808080" w:themeColor="background1" w:themeShade="80"/>
                      <w:sz w:val="16"/>
                      <w:szCs w:val="16"/>
                      <w:lang w:val="es-ES"/>
                    </w:rPr>
                    <w:t xml:space="preserve"> per dones</w:t>
                  </w:r>
                </w:p>
              </w:txbxContent>
            </v:textbox>
          </v:shape>
        </w:pict>
      </w:r>
      <w:r>
        <w:rPr>
          <w:rFonts w:ascii="LegacySanITCBoo" w:hAnsi="LegacySanITCBoo"/>
          <w:noProof/>
          <w:sz w:val="26"/>
          <w:szCs w:val="26"/>
          <w:lang w:val="es-ES" w:eastAsia="es-ES"/>
        </w:rPr>
        <w:pict>
          <v:shape id="_x0000_s1070" type="#_x0000_t202" style="position:absolute;left:0;text-align:left;margin-left:-9.65pt;margin-top:8.25pt;width:172.75pt;height:21.85pt;z-index:251683840;mso-position-horizontal:absolute" stroked="f">
            <v:textbox>
              <w:txbxContent>
                <w:p w:rsidR="00E56BD0" w:rsidRPr="00574C0E" w:rsidRDefault="00E56BD0" w:rsidP="00574C0E">
                  <w:pPr>
                    <w:jc w:val="center"/>
                    <w:rPr>
                      <w:b/>
                      <w:color w:val="808080" w:themeColor="background1" w:themeShade="80"/>
                      <w:sz w:val="16"/>
                      <w:szCs w:val="16"/>
                      <w:lang w:val="es-ES"/>
                    </w:rPr>
                  </w:pPr>
                  <w:r w:rsidRPr="00574C0E">
                    <w:rPr>
                      <w:b/>
                      <w:color w:val="808080" w:themeColor="background1" w:themeShade="80"/>
                      <w:sz w:val="16"/>
                      <w:szCs w:val="16"/>
                      <w:lang w:val="es-ES"/>
                    </w:rPr>
                    <w:t>Sol·</w:t>
                  </w:r>
                  <w:r w:rsidRPr="00574C0E">
                    <w:rPr>
                      <w:b/>
                      <w:color w:val="808080" w:themeColor="background1" w:themeShade="80"/>
                      <w:sz w:val="16"/>
                      <w:szCs w:val="16"/>
                    </w:rPr>
                    <w:t>licituds</w:t>
                  </w:r>
                  <w:r w:rsidRPr="00574C0E">
                    <w:rPr>
                      <w:b/>
                      <w:color w:val="808080" w:themeColor="background1" w:themeShade="80"/>
                      <w:sz w:val="16"/>
                      <w:szCs w:val="16"/>
                      <w:lang w:val="es-ES"/>
                    </w:rPr>
                    <w:t xml:space="preserve"> </w:t>
                  </w:r>
                  <w:r w:rsidRPr="00574C0E">
                    <w:rPr>
                      <w:b/>
                      <w:color w:val="808080" w:themeColor="background1" w:themeShade="80"/>
                      <w:sz w:val="16"/>
                      <w:szCs w:val="16"/>
                    </w:rPr>
                    <w:t>presentades</w:t>
                  </w:r>
                  <w:r w:rsidRPr="00574C0E">
                    <w:rPr>
                      <w:b/>
                      <w:color w:val="808080" w:themeColor="background1" w:themeShade="80"/>
                      <w:sz w:val="16"/>
                      <w:szCs w:val="16"/>
                      <w:lang w:val="es-ES"/>
                    </w:rPr>
                    <w:t xml:space="preserve"> per </w:t>
                  </w:r>
                  <w:r w:rsidRPr="00574C0E">
                    <w:rPr>
                      <w:b/>
                      <w:color w:val="808080" w:themeColor="background1" w:themeShade="80"/>
                      <w:sz w:val="16"/>
                      <w:szCs w:val="16"/>
                    </w:rPr>
                    <w:t>homes</w:t>
                  </w:r>
                </w:p>
              </w:txbxContent>
            </v:textbox>
          </v:shape>
        </w:pict>
      </w:r>
    </w:p>
    <w:p w:rsidR="00C733FD" w:rsidRDefault="00D94EB6" w:rsidP="00F60FBD">
      <w:pPr>
        <w:jc w:val="both"/>
        <w:rPr>
          <w:rFonts w:ascii="LegacySanITCBoo" w:hAnsi="LegacySanITCBoo"/>
          <w:noProof/>
          <w:sz w:val="26"/>
          <w:szCs w:val="26"/>
          <w:lang w:eastAsia="es-ES"/>
        </w:rPr>
      </w:pPr>
      <w:r>
        <w:rPr>
          <w:rFonts w:ascii="LegacySanITCBoo" w:hAnsi="LegacySanITCBoo"/>
          <w:noProof/>
          <w:sz w:val="26"/>
          <w:szCs w:val="26"/>
          <w:lang w:val="es-ES" w:eastAsia="es-ES"/>
        </w:rPr>
        <w:pict>
          <v:shape id="_x0000_s1060" type="#_x0000_t202" style="position:absolute;left:0;text-align:left;margin-left:-22.2pt;margin-top:7.15pt;width:446.4pt;height:178.55pt;z-index:251675648;mso-position-vertical:absolute" stroked="f">
            <v:textbox style="mso-next-textbox:#_x0000_s1060">
              <w:txbxContent>
                <w:p w:rsidR="00E56BD0" w:rsidRDefault="00E56BD0">
                  <w:r w:rsidRPr="00FD0C32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2699309" cy="2223821"/>
                        <wp:effectExtent l="0" t="0" r="0" b="0"/>
                        <wp:docPr id="49" name="Gráfico 5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4"/>
                          </a:graphicData>
                        </a:graphic>
                      </wp:inline>
                    </w:drawing>
                  </w:r>
                  <w:r>
                    <w:tab/>
                  </w:r>
                  <w:r w:rsidRPr="00FD0C32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2231136" cy="2026311"/>
                        <wp:effectExtent l="0" t="0" r="0" b="0"/>
                        <wp:docPr id="50" name="Gráfico 7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5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733FD" w:rsidRDefault="00C733FD" w:rsidP="00F60FBD">
      <w:pPr>
        <w:jc w:val="both"/>
        <w:rPr>
          <w:rFonts w:ascii="LegacySanITCBoo" w:hAnsi="LegacySanITCBoo"/>
          <w:noProof/>
          <w:sz w:val="26"/>
          <w:szCs w:val="26"/>
          <w:lang w:eastAsia="es-ES"/>
        </w:rPr>
      </w:pPr>
    </w:p>
    <w:p w:rsidR="00C733FD" w:rsidRDefault="00C733FD" w:rsidP="00F60FBD">
      <w:pPr>
        <w:jc w:val="both"/>
        <w:rPr>
          <w:rFonts w:ascii="LegacySanITCBoo" w:hAnsi="LegacySanITCBoo"/>
          <w:noProof/>
          <w:sz w:val="26"/>
          <w:szCs w:val="26"/>
          <w:lang w:eastAsia="es-ES"/>
        </w:rPr>
      </w:pPr>
    </w:p>
    <w:p w:rsidR="00C733FD" w:rsidRDefault="00C733FD" w:rsidP="00F60FBD">
      <w:pPr>
        <w:jc w:val="both"/>
        <w:rPr>
          <w:rFonts w:ascii="LegacySanITCBoo" w:hAnsi="LegacySanITCBoo"/>
          <w:noProof/>
          <w:sz w:val="26"/>
          <w:szCs w:val="26"/>
          <w:lang w:eastAsia="es-ES"/>
        </w:rPr>
      </w:pPr>
    </w:p>
    <w:p w:rsidR="00C733FD" w:rsidRDefault="00C733FD" w:rsidP="00F60FBD">
      <w:pPr>
        <w:rPr>
          <w:rFonts w:cs="Noto Sans"/>
          <w:b/>
          <w:i/>
          <w:color w:val="C30045"/>
          <w:sz w:val="24"/>
          <w:szCs w:val="24"/>
        </w:rPr>
      </w:pPr>
    </w:p>
    <w:p w:rsidR="00C733FD" w:rsidRDefault="00C733FD" w:rsidP="00F60FBD">
      <w:pPr>
        <w:rPr>
          <w:rFonts w:cs="Noto Sans"/>
          <w:b/>
          <w:i/>
          <w:color w:val="C30045"/>
          <w:sz w:val="24"/>
          <w:szCs w:val="24"/>
        </w:rPr>
      </w:pPr>
    </w:p>
    <w:p w:rsidR="00C733FD" w:rsidRDefault="00C733FD" w:rsidP="00F60FBD">
      <w:pPr>
        <w:rPr>
          <w:rFonts w:cs="Noto Sans"/>
          <w:b/>
          <w:i/>
          <w:color w:val="C30045"/>
          <w:sz w:val="24"/>
          <w:szCs w:val="24"/>
        </w:rPr>
      </w:pPr>
    </w:p>
    <w:p w:rsidR="00C733FD" w:rsidRDefault="00C733FD" w:rsidP="00F60FBD">
      <w:pPr>
        <w:rPr>
          <w:rFonts w:cs="Noto Sans"/>
          <w:b/>
          <w:i/>
          <w:color w:val="C30045"/>
          <w:sz w:val="24"/>
          <w:szCs w:val="24"/>
        </w:rPr>
      </w:pPr>
    </w:p>
    <w:p w:rsidR="00C733FD" w:rsidRPr="00594745" w:rsidRDefault="00C733FD" w:rsidP="00F60FBD">
      <w:pPr>
        <w:jc w:val="both"/>
        <w:rPr>
          <w:rFonts w:ascii="LegacySanITCBoo" w:hAnsi="LegacySanITCBoo"/>
          <w:noProof/>
          <w:lang w:eastAsia="es-ES"/>
        </w:rPr>
      </w:pPr>
    </w:p>
    <w:p w:rsidR="00C733FD" w:rsidRPr="00594745" w:rsidRDefault="00C733FD" w:rsidP="00F60FBD">
      <w:pPr>
        <w:jc w:val="both"/>
        <w:rPr>
          <w:rFonts w:ascii="LegacySanITCBoo" w:hAnsi="LegacySanITCBoo"/>
          <w:noProof/>
          <w:lang w:eastAsia="es-ES"/>
        </w:rPr>
      </w:pPr>
    </w:p>
    <w:p w:rsidR="00C733FD" w:rsidRPr="00594745" w:rsidRDefault="00C733FD" w:rsidP="00F60FBD">
      <w:pPr>
        <w:rPr>
          <w:rFonts w:cs="Noto Sans"/>
          <w:b/>
          <w:i/>
          <w:color w:val="C30045"/>
        </w:rPr>
      </w:pPr>
    </w:p>
    <w:p w:rsidR="00C733FD" w:rsidRPr="00594745" w:rsidRDefault="00C733FD" w:rsidP="00F60FBD">
      <w:pPr>
        <w:rPr>
          <w:rFonts w:cs="Noto Sans"/>
          <w:b/>
          <w:i/>
          <w:color w:val="C30045"/>
        </w:rPr>
      </w:pPr>
    </w:p>
    <w:p w:rsidR="00C733FD" w:rsidRDefault="00C733FD" w:rsidP="00F60FBD">
      <w:pPr>
        <w:rPr>
          <w:rFonts w:cs="Noto Sans"/>
          <w:b/>
          <w:i/>
          <w:color w:val="C30045"/>
        </w:rPr>
      </w:pPr>
    </w:p>
    <w:p w:rsidR="00574C0E" w:rsidRDefault="00574C0E" w:rsidP="00F60FBD">
      <w:pPr>
        <w:rPr>
          <w:rFonts w:cs="Noto Sans"/>
          <w:b/>
          <w:i/>
          <w:color w:val="C30045"/>
        </w:rPr>
      </w:pPr>
    </w:p>
    <w:p w:rsidR="00574C0E" w:rsidRDefault="00574C0E" w:rsidP="00F60FBD">
      <w:pPr>
        <w:rPr>
          <w:rFonts w:cs="Noto Sans"/>
          <w:b/>
          <w:i/>
          <w:color w:val="C30045"/>
        </w:rPr>
      </w:pPr>
    </w:p>
    <w:p w:rsidR="000A0494" w:rsidRPr="00594745" w:rsidRDefault="000A0494" w:rsidP="00F60FBD">
      <w:pPr>
        <w:rPr>
          <w:rFonts w:cs="Noto Sans"/>
          <w:b/>
          <w:i/>
          <w:color w:val="C30045"/>
        </w:rPr>
      </w:pPr>
    </w:p>
    <w:p w:rsidR="00C733FD" w:rsidRPr="00594745" w:rsidRDefault="00D94EB6" w:rsidP="00F60FBD">
      <w:pPr>
        <w:rPr>
          <w:rFonts w:cs="Noto Sans"/>
          <w:b/>
          <w:i/>
          <w:color w:val="C30045"/>
        </w:rPr>
      </w:pPr>
      <w:r w:rsidRPr="00D94EB6">
        <w:rPr>
          <w:rFonts w:ascii="LegacySanITCBoo" w:hAnsi="LegacySanITCBoo"/>
          <w:noProof/>
          <w:lang w:val="es-ES" w:eastAsia="es-ES"/>
        </w:rPr>
        <w:pict>
          <v:shape id="_x0000_s1062" type="#_x0000_t202" style="position:absolute;margin-left:-9.5pt;margin-top:5pt;width:219.35pt;height:221.25pt;z-index:251677696" stroked="f">
            <v:textbox style="mso-next-textbox:#_x0000_s1062">
              <w:txbxContent>
                <w:p w:rsidR="00E56BD0" w:rsidRDefault="00E56BD0" w:rsidP="00F60FBD">
                  <w:pPr>
                    <w:jc w:val="both"/>
                    <w:rPr>
                      <w:rFonts w:cs="Noto Sans"/>
                      <w:b/>
                      <w:i/>
                      <w:color w:val="C30045"/>
                    </w:rPr>
                  </w:pPr>
                  <w:r w:rsidRPr="00594745">
                    <w:rPr>
                      <w:rFonts w:cs="Noto Sans"/>
                      <w:b/>
                      <w:i/>
                      <w:color w:val="C30045"/>
                    </w:rPr>
                    <w:t>Edat de les persones sol·licitants</w:t>
                  </w:r>
                </w:p>
                <w:p w:rsidR="00E56BD0" w:rsidRDefault="00E56BD0" w:rsidP="00F60FBD">
                  <w:pPr>
                    <w:jc w:val="both"/>
                    <w:rPr>
                      <w:rFonts w:cs="Noto Sans"/>
                    </w:rPr>
                  </w:pPr>
                </w:p>
                <w:p w:rsidR="00E56BD0" w:rsidRDefault="00E56BD0" w:rsidP="00772CB3">
                  <w:pPr>
                    <w:rPr>
                      <w:rFonts w:cs="Noto Sans"/>
                    </w:rPr>
                  </w:pPr>
                  <w:r w:rsidRPr="00594745">
                    <w:rPr>
                      <w:rFonts w:cs="Noto Sans"/>
                    </w:rPr>
                    <w:t>La data de naixement dels sol·licitants és una dada del formulari de s</w:t>
                  </w:r>
                  <w:r>
                    <w:rPr>
                      <w:rFonts w:cs="Noto Sans"/>
                    </w:rPr>
                    <w:t>ol·licitud de caràcter opcional;</w:t>
                  </w:r>
                  <w:r w:rsidRPr="00594745">
                    <w:rPr>
                      <w:rFonts w:cs="Noto Sans"/>
                    </w:rPr>
                    <w:t xml:space="preserve"> per tant</w:t>
                  </w:r>
                  <w:r>
                    <w:rPr>
                      <w:rFonts w:cs="Noto Sans"/>
                    </w:rPr>
                    <w:t>, les dades de què</w:t>
                  </w:r>
                  <w:r w:rsidRPr="00594745">
                    <w:rPr>
                      <w:rFonts w:cs="Noto Sans"/>
                    </w:rPr>
                    <w:t xml:space="preserve"> </w:t>
                  </w:r>
                  <w:proofErr w:type="spellStart"/>
                  <w:r w:rsidRPr="00594745">
                    <w:rPr>
                      <w:rFonts w:cs="Noto Sans"/>
                    </w:rPr>
                    <w:t>disposam</w:t>
                  </w:r>
                  <w:proofErr w:type="spellEnd"/>
                  <w:r w:rsidRPr="00594745">
                    <w:rPr>
                      <w:rFonts w:cs="Noto Sans"/>
                    </w:rPr>
                    <w:t xml:space="preserve"> poden no reflectir de man</w:t>
                  </w:r>
                  <w:r>
                    <w:rPr>
                      <w:rFonts w:cs="Noto Sans"/>
                    </w:rPr>
                    <w:t>era totalment veraç la realitat</w:t>
                  </w:r>
                  <w:r w:rsidRPr="00594745">
                    <w:rPr>
                      <w:rFonts w:cs="Noto Sans"/>
                    </w:rPr>
                    <w:t>.</w:t>
                  </w:r>
                </w:p>
                <w:p w:rsidR="00E56BD0" w:rsidRPr="00594745" w:rsidRDefault="00E56BD0" w:rsidP="00772CB3">
                  <w:pPr>
                    <w:rPr>
                      <w:rFonts w:cs="Noto Sans"/>
                    </w:rPr>
                  </w:pPr>
                </w:p>
                <w:p w:rsidR="00E56BD0" w:rsidRPr="00594745" w:rsidRDefault="00E56BD0" w:rsidP="00772CB3">
                  <w:pPr>
                    <w:rPr>
                      <w:rFonts w:cs="Noto Sans"/>
                    </w:rPr>
                  </w:pPr>
                  <w:r w:rsidRPr="00594745">
                    <w:rPr>
                      <w:rFonts w:cs="Noto Sans"/>
                    </w:rPr>
                    <w:t>L</w:t>
                  </w:r>
                  <w:r>
                    <w:rPr>
                      <w:rFonts w:cs="Noto Sans"/>
                    </w:rPr>
                    <w:t>a</w:t>
                  </w:r>
                  <w:r w:rsidRPr="00594745">
                    <w:rPr>
                      <w:rFonts w:cs="Noto Sans"/>
                    </w:rPr>
                    <w:t xml:space="preserve"> franja d’edat més nombrosa és la de les persones sol·licitants que tenen entre 30 i 50 anys  (</w:t>
                  </w:r>
                  <w:r w:rsidRPr="00594745">
                    <w:rPr>
                      <w:rFonts w:cs="Noto Sans"/>
                      <w:b/>
                      <w:color w:val="C30045"/>
                    </w:rPr>
                    <w:t>31</w:t>
                  </w:r>
                  <w:r>
                    <w:rPr>
                      <w:rFonts w:cs="Noto Sans"/>
                      <w:b/>
                      <w:color w:val="C30045"/>
                    </w:rPr>
                    <w:t> </w:t>
                  </w:r>
                  <w:r w:rsidRPr="00594745">
                    <w:rPr>
                      <w:rFonts w:cs="Noto Sans"/>
                      <w:b/>
                      <w:color w:val="C30045"/>
                    </w:rPr>
                    <w:t>%</w:t>
                  </w:r>
                  <w:r w:rsidRPr="00594745">
                    <w:rPr>
                      <w:rFonts w:cs="Noto Sans"/>
                    </w:rPr>
                    <w:t>). En segon lloc, de les que tenen entre 50  i 60 anys (</w:t>
                  </w:r>
                  <w:r w:rsidRPr="00594745">
                    <w:rPr>
                      <w:rFonts w:cs="Noto Sans"/>
                      <w:b/>
                      <w:color w:val="C30045"/>
                    </w:rPr>
                    <w:t>27</w:t>
                  </w:r>
                  <w:r>
                    <w:rPr>
                      <w:rFonts w:cs="Noto Sans"/>
                      <w:b/>
                      <w:color w:val="C30045"/>
                    </w:rPr>
                    <w:t> </w:t>
                  </w:r>
                  <w:r w:rsidRPr="00594745">
                    <w:rPr>
                      <w:rFonts w:cs="Noto Sans"/>
                      <w:b/>
                      <w:color w:val="C30045"/>
                    </w:rPr>
                    <w:t>%</w:t>
                  </w:r>
                  <w:r w:rsidRPr="00594745">
                    <w:rPr>
                      <w:rFonts w:cs="Noto Sans"/>
                    </w:rPr>
                    <w:t>).</w:t>
                  </w:r>
                </w:p>
                <w:p w:rsidR="00E56BD0" w:rsidRDefault="00E56BD0"/>
              </w:txbxContent>
            </v:textbox>
          </v:shape>
        </w:pict>
      </w:r>
    </w:p>
    <w:p w:rsidR="00C733FD" w:rsidRPr="00594745" w:rsidRDefault="00C733FD" w:rsidP="00F60FBD">
      <w:pPr>
        <w:rPr>
          <w:rFonts w:cs="Noto Sans"/>
          <w:b/>
          <w:i/>
          <w:color w:val="C30045"/>
        </w:rPr>
      </w:pPr>
    </w:p>
    <w:p w:rsidR="00C733FD" w:rsidRPr="00594745" w:rsidRDefault="00D94EB6" w:rsidP="00F60FBD">
      <w:pPr>
        <w:rPr>
          <w:rFonts w:cs="Noto Sans"/>
          <w:b/>
          <w:i/>
          <w:color w:val="C30045"/>
        </w:rPr>
      </w:pPr>
      <w:r w:rsidRPr="00D94EB6">
        <w:rPr>
          <w:rFonts w:ascii="LegacySanITCBoo" w:hAnsi="LegacySanITCBoo"/>
          <w:noProof/>
          <w:lang w:val="es-ES" w:eastAsia="es-ES"/>
        </w:rPr>
        <w:pict>
          <v:shape id="_x0000_s1063" type="#_x0000_t202" style="position:absolute;margin-left:222.6pt;margin-top:10.25pt;width:191.8pt;height:144.55pt;z-index:251678720;mso-position-vertical:absolute" stroked="f">
            <v:textbox style="mso-next-textbox:#_x0000_s1063">
              <w:txbxContent>
                <w:p w:rsidR="00E56BD0" w:rsidRDefault="00E56BD0">
                  <w:r w:rsidRPr="000A0494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2150669" cy="1719072"/>
                        <wp:effectExtent l="0" t="0" r="0" b="0"/>
                        <wp:docPr id="24" name="Gráfico 9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6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733FD" w:rsidRDefault="00C733FD" w:rsidP="00F60FBD">
      <w:pPr>
        <w:jc w:val="both"/>
        <w:rPr>
          <w:rFonts w:ascii="LegacySanITCBoo" w:hAnsi="LegacySanITCBoo"/>
          <w:noProof/>
          <w:sz w:val="26"/>
          <w:szCs w:val="26"/>
          <w:lang w:eastAsia="es-ES"/>
        </w:rPr>
      </w:pPr>
    </w:p>
    <w:p w:rsidR="00C733FD" w:rsidRDefault="00C733FD" w:rsidP="00F60FBD">
      <w:pPr>
        <w:jc w:val="both"/>
        <w:rPr>
          <w:rFonts w:ascii="LegacySanITCBoo" w:hAnsi="LegacySanITCBoo"/>
          <w:noProof/>
          <w:sz w:val="26"/>
          <w:szCs w:val="26"/>
          <w:lang w:eastAsia="es-ES"/>
        </w:rPr>
      </w:pPr>
    </w:p>
    <w:p w:rsidR="00C733FD" w:rsidRDefault="00C733FD">
      <w:pPr>
        <w:rPr>
          <w:b/>
          <w:i/>
          <w:color w:val="C30045"/>
        </w:rPr>
      </w:pPr>
    </w:p>
    <w:p w:rsidR="00970563" w:rsidRDefault="00970563">
      <w:pPr>
        <w:rPr>
          <w:b/>
          <w:i/>
          <w:color w:val="C30045"/>
        </w:rPr>
      </w:pPr>
    </w:p>
    <w:p w:rsidR="00970563" w:rsidRDefault="00970563">
      <w:pPr>
        <w:rPr>
          <w:b/>
          <w:i/>
          <w:color w:val="C30045"/>
        </w:rPr>
      </w:pPr>
    </w:p>
    <w:p w:rsidR="00970563" w:rsidRDefault="00970563">
      <w:pPr>
        <w:rPr>
          <w:b/>
          <w:i/>
          <w:color w:val="C30045"/>
        </w:rPr>
      </w:pPr>
      <w:r w:rsidRPr="00970563">
        <w:rPr>
          <w:b/>
          <w:i/>
          <w:noProof/>
          <w:color w:val="C30045"/>
          <w:lang w:val="es-ES" w:eastAsia="es-ES"/>
        </w:rPr>
        <w:lastRenderedPageBreak/>
        <w:drawing>
          <wp:inline distT="0" distB="0" distL="0" distR="0">
            <wp:extent cx="5288890" cy="2999232"/>
            <wp:effectExtent l="0" t="0" r="0" b="0"/>
            <wp:docPr id="23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70563" w:rsidRDefault="00970563">
      <w:pPr>
        <w:rPr>
          <w:b/>
          <w:i/>
          <w:color w:val="C30045"/>
        </w:rPr>
      </w:pPr>
    </w:p>
    <w:p w:rsidR="00970563" w:rsidRDefault="00970563">
      <w:pPr>
        <w:rPr>
          <w:b/>
          <w:i/>
          <w:color w:val="C30045"/>
        </w:rPr>
      </w:pPr>
    </w:p>
    <w:p w:rsidR="00970563" w:rsidRDefault="00970563">
      <w:pPr>
        <w:rPr>
          <w:b/>
          <w:i/>
          <w:color w:val="C30045"/>
        </w:rPr>
      </w:pPr>
    </w:p>
    <w:p w:rsidR="00C733FD" w:rsidRDefault="00C733FD">
      <w:pPr>
        <w:rPr>
          <w:b/>
          <w:i/>
          <w:color w:val="C30045"/>
        </w:rPr>
      </w:pPr>
      <w:r w:rsidRPr="001552FB">
        <w:rPr>
          <w:b/>
          <w:i/>
          <w:color w:val="C30045"/>
        </w:rPr>
        <w:t>Matèries</w:t>
      </w:r>
    </w:p>
    <w:p w:rsidR="000A0494" w:rsidRPr="001552FB" w:rsidRDefault="000A0494"/>
    <w:p w:rsidR="00C733FD" w:rsidRDefault="00C733FD" w:rsidP="00772CB3">
      <w:r w:rsidRPr="001552FB">
        <w:t>Per matèria, la majoria de sol·licituds versen sobre la funció pública (</w:t>
      </w:r>
      <w:r w:rsidRPr="001552FB">
        <w:rPr>
          <w:b/>
          <w:color w:val="C30045"/>
        </w:rPr>
        <w:t>22</w:t>
      </w:r>
      <w:r w:rsidR="00A34C1F">
        <w:rPr>
          <w:b/>
          <w:color w:val="C30045"/>
        </w:rPr>
        <w:t> </w:t>
      </w:r>
      <w:r w:rsidRPr="001552FB">
        <w:rPr>
          <w:b/>
          <w:color w:val="C30045"/>
        </w:rPr>
        <w:t>%</w:t>
      </w:r>
      <w:r w:rsidRPr="001552FB">
        <w:t>) i temes de salut (</w:t>
      </w:r>
      <w:r w:rsidRPr="001552FB">
        <w:rPr>
          <w:b/>
          <w:color w:val="C30045"/>
        </w:rPr>
        <w:t>20</w:t>
      </w:r>
      <w:r w:rsidR="00A34C1F">
        <w:rPr>
          <w:b/>
          <w:color w:val="C30045"/>
        </w:rPr>
        <w:t> </w:t>
      </w:r>
      <w:r w:rsidRPr="001552FB">
        <w:rPr>
          <w:b/>
          <w:color w:val="C30045"/>
        </w:rPr>
        <w:t>%</w:t>
      </w:r>
      <w:r w:rsidRPr="001552FB">
        <w:t>) Destaquen també les sol·l</w:t>
      </w:r>
      <w:r w:rsidR="00A34C1F">
        <w:t>icituds sobre el medi ambient (</w:t>
      </w:r>
      <w:r w:rsidRPr="001552FB">
        <w:rPr>
          <w:b/>
          <w:color w:val="C30045"/>
        </w:rPr>
        <w:t>17</w:t>
      </w:r>
      <w:r w:rsidR="00A34C1F">
        <w:rPr>
          <w:b/>
          <w:color w:val="C30045"/>
        </w:rPr>
        <w:t> </w:t>
      </w:r>
      <w:r w:rsidRPr="001552FB">
        <w:rPr>
          <w:b/>
          <w:color w:val="C30045"/>
        </w:rPr>
        <w:t>%</w:t>
      </w:r>
      <w:r w:rsidRPr="001552FB">
        <w:t>).</w:t>
      </w:r>
    </w:p>
    <w:p w:rsidR="00A34C1F" w:rsidRDefault="00A34C1F" w:rsidP="00F60FBD">
      <w:pPr>
        <w:jc w:val="both"/>
      </w:pPr>
    </w:p>
    <w:p w:rsidR="00A34C1F" w:rsidRPr="001552FB" w:rsidRDefault="00A34C1F" w:rsidP="00F60FBD">
      <w:pPr>
        <w:jc w:val="both"/>
      </w:pPr>
    </w:p>
    <w:p w:rsidR="00C733FD" w:rsidRDefault="00C733FD" w:rsidP="00F60FBD">
      <w:pPr>
        <w:jc w:val="both"/>
        <w:rPr>
          <w:rFonts w:ascii="LegacySanITCBoo" w:hAnsi="LegacySanITCBoo"/>
          <w:b/>
          <w:i/>
          <w:noProof/>
          <w:color w:val="C30045"/>
          <w:sz w:val="26"/>
          <w:szCs w:val="26"/>
          <w:lang w:eastAsia="es-ES"/>
        </w:rPr>
      </w:pPr>
      <w:r w:rsidRPr="00C21887">
        <w:rPr>
          <w:rFonts w:ascii="LegacySanITCBoo" w:hAnsi="LegacySanITCBoo"/>
          <w:b/>
          <w:i/>
          <w:noProof/>
          <w:color w:val="C30045"/>
          <w:sz w:val="26"/>
          <w:szCs w:val="26"/>
          <w:lang w:val="es-ES" w:eastAsia="es-ES"/>
        </w:rPr>
        <w:drawing>
          <wp:inline distT="0" distB="0" distL="0" distR="0">
            <wp:extent cx="5288890" cy="3445459"/>
            <wp:effectExtent l="0" t="0" r="0" b="0"/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733FD" w:rsidRDefault="00C733FD">
      <w:pPr>
        <w:rPr>
          <w:rFonts w:cs="Noto Sans"/>
          <w:b/>
          <w:i/>
          <w:color w:val="C30045"/>
          <w:sz w:val="26"/>
          <w:szCs w:val="26"/>
        </w:rPr>
      </w:pPr>
    </w:p>
    <w:p w:rsidR="00A34C1F" w:rsidRDefault="00A34C1F">
      <w:pPr>
        <w:rPr>
          <w:rFonts w:cs="Noto Sans"/>
          <w:b/>
          <w:i/>
          <w:color w:val="C30045"/>
        </w:rPr>
      </w:pPr>
    </w:p>
    <w:p w:rsidR="00A34C1F" w:rsidRDefault="00A34C1F">
      <w:pPr>
        <w:rPr>
          <w:rFonts w:cs="Noto Sans"/>
          <w:b/>
          <w:i/>
          <w:color w:val="C30045"/>
        </w:rPr>
      </w:pPr>
    </w:p>
    <w:p w:rsidR="00C733FD" w:rsidRDefault="00C733FD">
      <w:pPr>
        <w:rPr>
          <w:rFonts w:cs="Noto Sans"/>
          <w:b/>
          <w:i/>
          <w:color w:val="C30045"/>
        </w:rPr>
      </w:pPr>
      <w:r w:rsidRPr="001552FB">
        <w:rPr>
          <w:rFonts w:cs="Noto Sans"/>
          <w:b/>
          <w:i/>
          <w:color w:val="C30045"/>
        </w:rPr>
        <w:t>Organismes als quals se sol·licita informació</w:t>
      </w:r>
    </w:p>
    <w:p w:rsidR="00BF7C4D" w:rsidRPr="001552FB" w:rsidRDefault="00BF7C4D">
      <w:pPr>
        <w:rPr>
          <w:rFonts w:cs="Noto Sans"/>
          <w:b/>
          <w:i/>
          <w:color w:val="C30045"/>
        </w:rPr>
      </w:pPr>
    </w:p>
    <w:p w:rsidR="00C733FD" w:rsidRDefault="00BF7C4D" w:rsidP="00772CB3">
      <w:pPr>
        <w:rPr>
          <w:rFonts w:cs="Noto Sans"/>
        </w:rPr>
      </w:pPr>
      <w:r>
        <w:rPr>
          <w:rFonts w:cs="Noto Sans"/>
        </w:rPr>
        <w:t>Per c</w:t>
      </w:r>
      <w:r w:rsidR="00C733FD" w:rsidRPr="001552FB">
        <w:rPr>
          <w:rFonts w:cs="Noto Sans"/>
        </w:rPr>
        <w:t>onselleries, la de Salut és la que ha rebut més sol·licituds</w:t>
      </w:r>
      <w:r>
        <w:rPr>
          <w:rFonts w:cs="Noto Sans"/>
        </w:rPr>
        <w:t>,</w:t>
      </w:r>
      <w:r w:rsidR="00C733FD" w:rsidRPr="001552FB">
        <w:rPr>
          <w:rFonts w:cs="Noto Sans"/>
        </w:rPr>
        <w:t xml:space="preserve"> amb un total de 20 (</w:t>
      </w:r>
      <w:r w:rsidR="00C733FD" w:rsidRPr="001552FB">
        <w:rPr>
          <w:rFonts w:cs="Noto Sans"/>
          <w:b/>
          <w:color w:val="C30045"/>
        </w:rPr>
        <w:t>34</w:t>
      </w:r>
      <w:r>
        <w:rPr>
          <w:rFonts w:cs="Noto Sans"/>
          <w:b/>
          <w:color w:val="C30045"/>
        </w:rPr>
        <w:t> </w:t>
      </w:r>
      <w:r w:rsidR="00C733FD" w:rsidRPr="001552FB">
        <w:rPr>
          <w:rFonts w:cs="Noto Sans"/>
          <w:b/>
          <w:color w:val="C30045"/>
        </w:rPr>
        <w:t>%</w:t>
      </w:r>
      <w:r w:rsidR="00C733FD" w:rsidRPr="001552FB">
        <w:rPr>
          <w:rFonts w:cs="Noto Sans"/>
        </w:rPr>
        <w:t>)</w:t>
      </w:r>
      <w:r w:rsidR="00C733FD" w:rsidRPr="001552FB">
        <w:rPr>
          <w:rFonts w:cs="Noto Sans"/>
          <w:b/>
        </w:rPr>
        <w:t>.</w:t>
      </w:r>
      <w:r>
        <w:rPr>
          <w:rFonts w:cs="Noto Sans"/>
        </w:rPr>
        <w:t xml:space="preserve"> En segon i tercer lloc, les conselleries de Medi Ambient, Agricultura i Pesca, i </w:t>
      </w:r>
      <w:r w:rsidR="00C733FD" w:rsidRPr="001552FB">
        <w:rPr>
          <w:rFonts w:cs="Noto Sans"/>
        </w:rPr>
        <w:t>d’Hisenda i Administracions Públiques han rebut 10 i 9 sol·licituds</w:t>
      </w:r>
      <w:r>
        <w:rPr>
          <w:rFonts w:cs="Noto Sans"/>
        </w:rPr>
        <w:t>,</w:t>
      </w:r>
      <w:r w:rsidR="00C733FD" w:rsidRPr="001552FB">
        <w:rPr>
          <w:rFonts w:cs="Noto Sans"/>
        </w:rPr>
        <w:t xml:space="preserve"> respectivament.</w:t>
      </w:r>
    </w:p>
    <w:p w:rsidR="00BF7C4D" w:rsidRPr="001552FB" w:rsidRDefault="00BF7C4D" w:rsidP="00F60FBD">
      <w:pPr>
        <w:jc w:val="both"/>
        <w:rPr>
          <w:rFonts w:cs="Noto Sans"/>
        </w:rPr>
      </w:pPr>
    </w:p>
    <w:p w:rsidR="00C733FD" w:rsidRPr="00004000" w:rsidRDefault="00C733FD" w:rsidP="00F60FBD">
      <w:pPr>
        <w:jc w:val="both"/>
        <w:rPr>
          <w:rFonts w:cs="Noto Sans"/>
          <w:noProof/>
          <w:sz w:val="24"/>
          <w:szCs w:val="24"/>
          <w:lang w:eastAsia="es-ES"/>
        </w:rPr>
      </w:pPr>
    </w:p>
    <w:p w:rsidR="00C733FD" w:rsidRPr="00004000" w:rsidRDefault="00C733FD" w:rsidP="00F60FBD">
      <w:pPr>
        <w:jc w:val="both"/>
        <w:rPr>
          <w:rFonts w:cs="Noto Sans"/>
          <w:noProof/>
          <w:sz w:val="26"/>
          <w:szCs w:val="26"/>
          <w:lang w:eastAsia="es-ES"/>
        </w:rPr>
      </w:pPr>
      <w:r w:rsidRPr="00004000">
        <w:rPr>
          <w:rFonts w:cs="Noto Sans"/>
          <w:noProof/>
          <w:sz w:val="26"/>
          <w:szCs w:val="26"/>
          <w:lang w:val="es-ES" w:eastAsia="es-ES"/>
        </w:rPr>
        <w:drawing>
          <wp:inline distT="0" distB="0" distL="0" distR="0">
            <wp:extent cx="5791200" cy="1838325"/>
            <wp:effectExtent l="0" t="0" r="0" b="0"/>
            <wp:docPr id="18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733FD" w:rsidRDefault="00C733FD">
      <w:pPr>
        <w:rPr>
          <w:rFonts w:cs="Noto Sans"/>
          <w:b/>
          <w:i/>
          <w:color w:val="C30045"/>
          <w:sz w:val="24"/>
          <w:szCs w:val="24"/>
        </w:rPr>
      </w:pPr>
    </w:p>
    <w:p w:rsidR="00C733FD" w:rsidRDefault="00C733FD">
      <w:pPr>
        <w:rPr>
          <w:rFonts w:cs="Noto Sans"/>
          <w:b/>
          <w:i/>
          <w:color w:val="C30045"/>
          <w:sz w:val="24"/>
          <w:szCs w:val="24"/>
        </w:rPr>
      </w:pPr>
    </w:p>
    <w:p w:rsidR="00C733FD" w:rsidRDefault="00C733FD">
      <w:pPr>
        <w:rPr>
          <w:rFonts w:cs="Noto Sans"/>
          <w:b/>
          <w:i/>
          <w:color w:val="C30045"/>
          <w:sz w:val="24"/>
          <w:szCs w:val="24"/>
        </w:rPr>
      </w:pPr>
    </w:p>
    <w:p w:rsidR="00C733FD" w:rsidRDefault="00C733FD">
      <w:pPr>
        <w:rPr>
          <w:rFonts w:cs="Noto Sans"/>
          <w:b/>
          <w:i/>
          <w:color w:val="C30045"/>
          <w:sz w:val="24"/>
          <w:szCs w:val="24"/>
        </w:rPr>
      </w:pPr>
      <w:r w:rsidRPr="00004000">
        <w:rPr>
          <w:rFonts w:cs="Noto Sans"/>
          <w:b/>
          <w:i/>
          <w:color w:val="C30045"/>
          <w:sz w:val="24"/>
          <w:szCs w:val="24"/>
        </w:rPr>
        <w:t>Reclamacions</w:t>
      </w:r>
    </w:p>
    <w:p w:rsidR="00BF7C4D" w:rsidRPr="00004000" w:rsidRDefault="00BF7C4D">
      <w:pPr>
        <w:rPr>
          <w:rFonts w:cs="Noto Sans"/>
          <w:b/>
          <w:i/>
          <w:color w:val="C30045"/>
          <w:sz w:val="24"/>
          <w:szCs w:val="24"/>
        </w:rPr>
      </w:pPr>
    </w:p>
    <w:p w:rsidR="00C733FD" w:rsidRPr="0038184A" w:rsidRDefault="00C733FD" w:rsidP="00772CB3">
      <w:pPr>
        <w:rPr>
          <w:rFonts w:cs="Noto Sans"/>
        </w:rPr>
      </w:pPr>
      <w:r w:rsidRPr="0038184A">
        <w:rPr>
          <w:rFonts w:cs="Noto Sans"/>
        </w:rPr>
        <w:t xml:space="preserve">De les 50 resolucions, només </w:t>
      </w:r>
      <w:r w:rsidRPr="0038184A">
        <w:rPr>
          <w:rFonts w:cs="Noto Sans"/>
          <w:b/>
          <w:color w:val="C30045"/>
        </w:rPr>
        <w:t>3</w:t>
      </w:r>
      <w:r w:rsidRPr="0038184A">
        <w:rPr>
          <w:rFonts w:cs="Noto Sans"/>
        </w:rPr>
        <w:t xml:space="preserve"> han </w:t>
      </w:r>
      <w:r w:rsidR="00BF7C4D" w:rsidRPr="0038184A">
        <w:rPr>
          <w:rFonts w:cs="Noto Sans"/>
        </w:rPr>
        <w:t>estat</w:t>
      </w:r>
      <w:r w:rsidRPr="0038184A">
        <w:rPr>
          <w:rFonts w:cs="Noto Sans"/>
        </w:rPr>
        <w:t xml:space="preserve"> objecte de reclamació davant la </w:t>
      </w:r>
      <w:r w:rsidR="00772CB3" w:rsidRPr="0038184A">
        <w:rPr>
          <w:rFonts w:cs="Noto Sans"/>
        </w:rPr>
        <w:t>Comissió per a la Resolució de Reclamacions en Matèria d’Accés a la Informació P</w:t>
      </w:r>
      <w:r w:rsidRPr="0038184A">
        <w:rPr>
          <w:rFonts w:cs="Noto Sans"/>
        </w:rPr>
        <w:t>ública.</w:t>
      </w:r>
    </w:p>
    <w:p w:rsidR="00C733FD" w:rsidRDefault="00574C0E" w:rsidP="00F60FBD">
      <w:pPr>
        <w:jc w:val="both"/>
        <w:rPr>
          <w:rFonts w:ascii="LegacySanITCBoo" w:hAnsi="LegacySanITCBoo"/>
          <w:noProof/>
          <w:sz w:val="26"/>
          <w:szCs w:val="26"/>
          <w:lang w:val="es-ES" w:eastAsia="es-ES"/>
        </w:rPr>
      </w:pPr>
      <w:r w:rsidRPr="00574C0E">
        <w:rPr>
          <w:rFonts w:ascii="LegacySanITCBoo" w:hAnsi="LegacySanITCBoo"/>
          <w:noProof/>
          <w:sz w:val="26"/>
          <w:szCs w:val="26"/>
          <w:lang w:val="es-ES" w:eastAsia="es-ES"/>
        </w:rPr>
        <w:drawing>
          <wp:inline distT="0" distB="0" distL="0" distR="0">
            <wp:extent cx="5040884" cy="2196795"/>
            <wp:effectExtent l="0" t="0" r="0" b="0"/>
            <wp:docPr id="57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8184A" w:rsidRDefault="0038184A" w:rsidP="00F60FBD">
      <w:pPr>
        <w:jc w:val="both"/>
        <w:rPr>
          <w:rFonts w:cs="Noto Sans"/>
        </w:rPr>
      </w:pPr>
    </w:p>
    <w:p w:rsidR="0038184A" w:rsidRDefault="0038184A" w:rsidP="00F60FBD">
      <w:pPr>
        <w:jc w:val="both"/>
        <w:rPr>
          <w:rFonts w:cs="Noto Sans"/>
        </w:rPr>
      </w:pPr>
    </w:p>
    <w:p w:rsidR="00C733FD" w:rsidRPr="0038184A" w:rsidRDefault="00C733FD" w:rsidP="00F60FBD">
      <w:pPr>
        <w:jc w:val="both"/>
        <w:rPr>
          <w:rFonts w:cs="Noto Sans"/>
        </w:rPr>
      </w:pPr>
      <w:r w:rsidRPr="0038184A">
        <w:rPr>
          <w:rFonts w:cs="Noto Sans"/>
        </w:rPr>
        <w:t xml:space="preserve">Les tres reclamacions que s’han presentat han </w:t>
      </w:r>
      <w:r w:rsidR="00BF7C4D" w:rsidRPr="0038184A">
        <w:rPr>
          <w:rFonts w:cs="Noto Sans"/>
        </w:rPr>
        <w:t>estat</w:t>
      </w:r>
      <w:r w:rsidRPr="0038184A">
        <w:rPr>
          <w:rFonts w:cs="Noto Sans"/>
        </w:rPr>
        <w:t xml:space="preserve"> desestimades per la Comissió.</w:t>
      </w:r>
    </w:p>
    <w:p w:rsidR="00BF7C4D" w:rsidRDefault="00C733FD" w:rsidP="00BF7C4D">
      <w:pPr>
        <w:jc w:val="both"/>
        <w:rPr>
          <w:rFonts w:cs="Noto Sans"/>
        </w:rPr>
      </w:pPr>
      <w:r w:rsidRPr="0038184A">
        <w:rPr>
          <w:rFonts w:cs="Noto Sans"/>
        </w:rPr>
        <w:t>Palma, 31 de desembre de 2016</w:t>
      </w:r>
    </w:p>
    <w:p w:rsidR="0038184A" w:rsidRDefault="0038184A" w:rsidP="00BF7C4D">
      <w:pPr>
        <w:jc w:val="both"/>
        <w:rPr>
          <w:rFonts w:cs="Noto Sans"/>
        </w:rPr>
      </w:pPr>
    </w:p>
    <w:p w:rsidR="0038184A" w:rsidRPr="0038184A" w:rsidRDefault="0038184A" w:rsidP="00BF7C4D">
      <w:pPr>
        <w:jc w:val="both"/>
        <w:rPr>
          <w:rFonts w:cs="Noto Sans"/>
        </w:rPr>
      </w:pPr>
    </w:p>
    <w:p w:rsidR="00C733FD" w:rsidRPr="00624A00" w:rsidRDefault="00C733FD" w:rsidP="00BF7C4D">
      <w:pPr>
        <w:jc w:val="both"/>
        <w:rPr>
          <w:rFonts w:cs="Noto Sans"/>
          <w:b/>
          <w:i/>
          <w:color w:val="C30045"/>
        </w:rPr>
      </w:pPr>
      <w:r w:rsidRPr="00136A00">
        <w:rPr>
          <w:rFonts w:cs="Noto Sans"/>
          <w:sz w:val="24"/>
          <w:szCs w:val="24"/>
        </w:rPr>
        <w:t>*</w:t>
      </w:r>
      <w:r w:rsidRPr="00624A00">
        <w:rPr>
          <w:rFonts w:cs="Noto Sans"/>
          <w:b/>
          <w:i/>
          <w:color w:val="C30045"/>
        </w:rPr>
        <w:t>Annex</w:t>
      </w:r>
      <w:r w:rsidR="00AF74E5">
        <w:rPr>
          <w:rFonts w:cs="Noto Sans"/>
          <w:b/>
          <w:i/>
          <w:color w:val="C30045"/>
        </w:rPr>
        <w:t xml:space="preserve"> de</w:t>
      </w:r>
      <w:r w:rsidRPr="00624A00">
        <w:rPr>
          <w:rFonts w:cs="Noto Sans"/>
          <w:b/>
          <w:i/>
          <w:color w:val="C30045"/>
        </w:rPr>
        <w:t xml:space="preserve"> </w:t>
      </w:r>
      <w:r w:rsidR="00AF74E5">
        <w:rPr>
          <w:rFonts w:cs="Noto Sans"/>
          <w:b/>
          <w:i/>
          <w:color w:val="C30045"/>
        </w:rPr>
        <w:t>l’</w:t>
      </w:r>
      <w:r w:rsidRPr="00624A00">
        <w:rPr>
          <w:rFonts w:cs="Noto Sans"/>
          <w:b/>
          <w:i/>
          <w:color w:val="C30045"/>
        </w:rPr>
        <w:t xml:space="preserve">informe </w:t>
      </w:r>
      <w:r w:rsidR="00AF74E5">
        <w:rPr>
          <w:rFonts w:cs="Noto Sans"/>
          <w:b/>
          <w:i/>
          <w:color w:val="C30045"/>
        </w:rPr>
        <w:t>d’</w:t>
      </w:r>
      <w:r w:rsidRPr="00624A00">
        <w:rPr>
          <w:rFonts w:cs="Noto Sans"/>
          <w:b/>
          <w:i/>
          <w:color w:val="C30045"/>
        </w:rPr>
        <w:t xml:space="preserve">estadística </w:t>
      </w:r>
      <w:r w:rsidR="00772CB3">
        <w:rPr>
          <w:rFonts w:cs="Noto Sans"/>
          <w:b/>
          <w:i/>
          <w:color w:val="C30045"/>
        </w:rPr>
        <w:t>a</w:t>
      </w:r>
      <w:r>
        <w:rPr>
          <w:rFonts w:cs="Noto Sans"/>
          <w:b/>
          <w:i/>
          <w:color w:val="C30045"/>
        </w:rPr>
        <w:t xml:space="preserve"> 15 de març </w:t>
      </w:r>
      <w:r w:rsidRPr="00624A00">
        <w:rPr>
          <w:rFonts w:cs="Noto Sans"/>
          <w:b/>
          <w:i/>
          <w:color w:val="C30045"/>
        </w:rPr>
        <w:t>de 2017 respecte de les 6 sol·licituds pendents de tr</w:t>
      </w:r>
      <w:r w:rsidR="00BF7C4D">
        <w:rPr>
          <w:rFonts w:cs="Noto Sans"/>
          <w:b/>
          <w:i/>
          <w:color w:val="C30045"/>
        </w:rPr>
        <w:t>amitar a 31 de desembre de 2016</w:t>
      </w:r>
    </w:p>
    <w:p w:rsidR="00C733FD" w:rsidRDefault="00C733FD" w:rsidP="00F60FBD">
      <w:pPr>
        <w:jc w:val="both"/>
        <w:rPr>
          <w:rFonts w:cs="Noto Sans"/>
        </w:rPr>
      </w:pPr>
    </w:p>
    <w:p w:rsidR="00C733FD" w:rsidRDefault="00C733FD" w:rsidP="00772CB3">
      <w:pPr>
        <w:rPr>
          <w:rFonts w:cs="Noto Sans"/>
        </w:rPr>
      </w:pPr>
      <w:r w:rsidRPr="00624A00">
        <w:rPr>
          <w:rFonts w:cs="Noto Sans"/>
        </w:rPr>
        <w:t xml:space="preserve">De les </w:t>
      </w:r>
      <w:r w:rsidRPr="00624A00">
        <w:rPr>
          <w:rFonts w:cs="Noto Sans"/>
          <w:b/>
          <w:color w:val="C30045"/>
        </w:rPr>
        <w:t>6</w:t>
      </w:r>
      <w:r w:rsidRPr="00624A00">
        <w:rPr>
          <w:rFonts w:cs="Noto Sans"/>
        </w:rPr>
        <w:t xml:space="preserve"> sol·licituds pendents de tramitar a 31 de desembre de 2016, </w:t>
      </w:r>
      <w:r w:rsidRPr="00624A00">
        <w:rPr>
          <w:rFonts w:cs="Noto Sans"/>
          <w:b/>
          <w:color w:val="C30045"/>
        </w:rPr>
        <w:t>4</w:t>
      </w:r>
      <w:r w:rsidRPr="00624A00">
        <w:rPr>
          <w:rFonts w:cs="Noto Sans"/>
        </w:rPr>
        <w:t xml:space="preserve"> han acabat en </w:t>
      </w:r>
      <w:r w:rsidR="00BF7C4D">
        <w:rPr>
          <w:rFonts w:cs="Noto Sans"/>
        </w:rPr>
        <w:t>resolucions</w:t>
      </w:r>
      <w:r w:rsidRPr="00624A00">
        <w:rPr>
          <w:rFonts w:cs="Noto Sans"/>
        </w:rPr>
        <w:t xml:space="preserve"> que</w:t>
      </w:r>
      <w:r w:rsidRPr="00624A00">
        <w:rPr>
          <w:rFonts w:cs="Noto Sans"/>
          <w:b/>
          <w:color w:val="C30045"/>
        </w:rPr>
        <w:t xml:space="preserve"> </w:t>
      </w:r>
      <w:r w:rsidRPr="00624A00">
        <w:rPr>
          <w:rFonts w:cs="Noto Sans"/>
        </w:rPr>
        <w:t>estimen totalment la sol·licitud.</w:t>
      </w:r>
    </w:p>
    <w:p w:rsidR="00BF7C4D" w:rsidRPr="00624A00" w:rsidRDefault="00BF7C4D" w:rsidP="00772CB3">
      <w:pPr>
        <w:rPr>
          <w:rFonts w:cs="Noto Sans"/>
        </w:rPr>
      </w:pPr>
    </w:p>
    <w:p w:rsidR="00C733FD" w:rsidRDefault="00BF7C4D" w:rsidP="00772CB3">
      <w:pPr>
        <w:rPr>
          <w:rFonts w:cs="Noto Sans"/>
        </w:rPr>
      </w:pPr>
      <w:r>
        <w:rPr>
          <w:rFonts w:cs="Noto Sans"/>
        </w:rPr>
        <w:t>D’</w:t>
      </w:r>
      <w:r w:rsidR="00C733FD" w:rsidRPr="00624A00">
        <w:rPr>
          <w:rFonts w:cs="Noto Sans"/>
        </w:rPr>
        <w:t xml:space="preserve">altra banda, i dins la categoria </w:t>
      </w:r>
      <w:r>
        <w:rPr>
          <w:rFonts w:cs="Noto Sans"/>
        </w:rPr>
        <w:t>«</w:t>
      </w:r>
      <w:r w:rsidRPr="00BF7C4D">
        <w:rPr>
          <w:rFonts w:cs="Noto Sans"/>
        </w:rPr>
        <w:t>A</w:t>
      </w:r>
      <w:r w:rsidR="00C733FD" w:rsidRPr="00BF7C4D">
        <w:rPr>
          <w:rFonts w:cs="Noto Sans"/>
        </w:rPr>
        <w:t>ltres formes de finalització</w:t>
      </w:r>
      <w:r>
        <w:rPr>
          <w:rFonts w:cs="Noto Sans"/>
        </w:rPr>
        <w:t>»</w:t>
      </w:r>
      <w:r w:rsidR="00C733FD" w:rsidRPr="00624A00">
        <w:rPr>
          <w:rFonts w:cs="Noto Sans"/>
          <w:i/>
        </w:rPr>
        <w:t>,</w:t>
      </w:r>
      <w:r w:rsidR="00C733FD" w:rsidRPr="00624A00">
        <w:rPr>
          <w:rFonts w:cs="Noto Sans"/>
        </w:rPr>
        <w:t xml:space="preserve"> hi consta</w:t>
      </w:r>
      <w:r w:rsidR="00C733FD" w:rsidRPr="00624A00">
        <w:rPr>
          <w:rFonts w:cs="Noto Sans"/>
          <w:b/>
          <w:color w:val="C30045"/>
        </w:rPr>
        <w:t xml:space="preserve"> 1 </w:t>
      </w:r>
      <w:r w:rsidR="00C733FD" w:rsidRPr="00624A00">
        <w:rPr>
          <w:rFonts w:cs="Noto Sans"/>
        </w:rPr>
        <w:t xml:space="preserve">sol·licitud que no es </w:t>
      </w:r>
      <w:r>
        <w:rPr>
          <w:rFonts w:cs="Noto Sans"/>
        </w:rPr>
        <w:t xml:space="preserve">pot classificar com a </w:t>
      </w:r>
      <w:r w:rsidR="00C733FD" w:rsidRPr="00624A00">
        <w:rPr>
          <w:rFonts w:cs="Noto Sans"/>
        </w:rPr>
        <w:t>infor</w:t>
      </w:r>
      <w:r>
        <w:rPr>
          <w:rFonts w:cs="Noto Sans"/>
        </w:rPr>
        <w:t>mació pública d’acord amb l’article</w:t>
      </w:r>
      <w:r w:rsidR="00772CB3">
        <w:rPr>
          <w:rFonts w:cs="Noto Sans"/>
        </w:rPr>
        <w:t> </w:t>
      </w:r>
      <w:r w:rsidR="00C733FD" w:rsidRPr="00624A00">
        <w:rPr>
          <w:rFonts w:cs="Noto Sans"/>
        </w:rPr>
        <w:t xml:space="preserve">13 de la Llei 19/2013, de 9 de desembre, de transparència, accés a la informació pública i bon govern, i </w:t>
      </w:r>
      <w:r w:rsidR="00C733FD" w:rsidRPr="00B84EED">
        <w:rPr>
          <w:rFonts w:cs="Noto Sans"/>
          <w:b/>
          <w:color w:val="C30045"/>
        </w:rPr>
        <w:t>1</w:t>
      </w:r>
      <w:r w:rsidR="00C733FD" w:rsidRPr="00624A00">
        <w:rPr>
          <w:rFonts w:cs="Noto Sans"/>
        </w:rPr>
        <w:t xml:space="preserve"> que és arxivada per desistiment de l’interessat.</w:t>
      </w:r>
    </w:p>
    <w:p w:rsidR="00BF7C4D" w:rsidRDefault="00BF7C4D" w:rsidP="00F60FBD">
      <w:pPr>
        <w:jc w:val="both"/>
        <w:rPr>
          <w:rFonts w:cs="Noto Sans"/>
          <w:color w:val="C30045"/>
          <w:sz w:val="24"/>
          <w:szCs w:val="24"/>
        </w:rPr>
      </w:pPr>
    </w:p>
    <w:p w:rsidR="00BF7C4D" w:rsidRDefault="00BF7C4D" w:rsidP="00F60FBD">
      <w:pPr>
        <w:jc w:val="both"/>
        <w:rPr>
          <w:rFonts w:cs="Noto Sans"/>
          <w:color w:val="C30045"/>
          <w:sz w:val="24"/>
          <w:szCs w:val="24"/>
        </w:rPr>
      </w:pPr>
    </w:p>
    <w:p w:rsidR="00C733FD" w:rsidRPr="00136A00" w:rsidRDefault="00D94EB6" w:rsidP="00F60FBD">
      <w:pPr>
        <w:jc w:val="both"/>
        <w:rPr>
          <w:rFonts w:cs="Noto Sans"/>
          <w:color w:val="C30045"/>
          <w:sz w:val="24"/>
          <w:szCs w:val="24"/>
        </w:rPr>
      </w:pPr>
      <w:r w:rsidRPr="00D94EB6">
        <w:rPr>
          <w:rFonts w:cs="Noto Sans"/>
          <w:noProof/>
          <w:sz w:val="24"/>
          <w:szCs w:val="24"/>
          <w:lang w:val="es-ES" w:eastAsia="es-ES"/>
        </w:rPr>
        <w:pict>
          <v:shape id="_x0000_s1065" type="#_x0000_t202" style="position:absolute;left:0;text-align:left;margin-left:270.45pt;margin-top:11.4pt;width:146.25pt;height:26.7pt;z-index:251680768" stroked="f">
            <v:textbox>
              <w:txbxContent>
                <w:p w:rsidR="00E56BD0" w:rsidRPr="002F4A6D" w:rsidRDefault="00E56BD0">
                  <w:pPr>
                    <w:rPr>
                      <w:rFonts w:cs="Noto Sans"/>
                      <w:b/>
                      <w:color w:val="808080" w:themeColor="background1" w:themeShade="80"/>
                      <w:sz w:val="16"/>
                      <w:szCs w:val="18"/>
                    </w:rPr>
                  </w:pPr>
                  <w:r w:rsidRPr="002F4A6D">
                    <w:rPr>
                      <w:rFonts w:cs="Noto Sans"/>
                      <w:b/>
                      <w:color w:val="808080" w:themeColor="background1" w:themeShade="80"/>
                      <w:sz w:val="16"/>
                      <w:szCs w:val="18"/>
                    </w:rPr>
                    <w:t xml:space="preserve">Altres formes de finalització </w:t>
                  </w:r>
                </w:p>
              </w:txbxContent>
            </v:textbox>
          </v:shape>
        </w:pict>
      </w:r>
      <w:r w:rsidRPr="00D94EB6">
        <w:rPr>
          <w:rFonts w:cs="Noto Sans"/>
          <w:noProof/>
          <w:sz w:val="24"/>
          <w:szCs w:val="24"/>
          <w:lang w:val="es-ES" w:eastAsia="es-ES"/>
        </w:rPr>
        <w:pict>
          <v:shape id="_x0000_s1064" type="#_x0000_t202" style="position:absolute;left:0;text-align:left;margin-left:6.45pt;margin-top:11.4pt;width:169.5pt;height:33.45pt;z-index:251679744" stroked="f">
            <v:textbox>
              <w:txbxContent>
                <w:p w:rsidR="00E56BD0" w:rsidRPr="002F4A6D" w:rsidRDefault="00E56BD0">
                  <w:pPr>
                    <w:rPr>
                      <w:rFonts w:cs="Noto Sans"/>
                      <w:b/>
                      <w:color w:val="808080" w:themeColor="background1" w:themeShade="80"/>
                      <w:sz w:val="16"/>
                      <w:szCs w:val="18"/>
                    </w:rPr>
                  </w:pPr>
                  <w:r w:rsidRPr="002F4A6D">
                    <w:rPr>
                      <w:rFonts w:cs="Noto Sans"/>
                      <w:b/>
                      <w:color w:val="808080" w:themeColor="background1" w:themeShade="80"/>
                      <w:sz w:val="16"/>
                      <w:szCs w:val="18"/>
                    </w:rPr>
                    <w:t>Sentit de les resolucions</w:t>
                  </w:r>
                </w:p>
              </w:txbxContent>
            </v:textbox>
          </v:shape>
        </w:pict>
      </w:r>
    </w:p>
    <w:p w:rsidR="00C733FD" w:rsidRPr="00136A00" w:rsidRDefault="00D94EB6" w:rsidP="00F60FBD">
      <w:pPr>
        <w:tabs>
          <w:tab w:val="left" w:pos="3675"/>
        </w:tabs>
        <w:rPr>
          <w:rFonts w:cs="Noto Sans"/>
          <w:sz w:val="24"/>
          <w:szCs w:val="24"/>
        </w:rPr>
      </w:pPr>
      <w:r>
        <w:rPr>
          <w:rFonts w:cs="Noto Sans"/>
          <w:noProof/>
          <w:sz w:val="24"/>
          <w:szCs w:val="24"/>
          <w:lang w:val="es-ES" w:eastAsia="es-ES"/>
        </w:rPr>
        <w:pict>
          <v:shape id="_x0000_s1066" type="#_x0000_t202" style="position:absolute;margin-left:-49.35pt;margin-top:9.3pt;width:235.8pt;height:226.7pt;z-index:251681792" stroked="f">
            <v:textbox>
              <w:txbxContent>
                <w:p w:rsidR="00E56BD0" w:rsidRDefault="00E56BD0">
                  <w:r w:rsidRPr="0036769E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2779776" cy="3226004"/>
                        <wp:effectExtent l="0" t="0" r="1524" b="0"/>
                        <wp:docPr id="21" name="Gráfico 2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1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733FD">
        <w:rPr>
          <w:rFonts w:cs="Noto Sans"/>
          <w:sz w:val="24"/>
          <w:szCs w:val="24"/>
        </w:rPr>
        <w:tab/>
      </w:r>
    </w:p>
    <w:p w:rsidR="00C733FD" w:rsidRPr="00136A00" w:rsidRDefault="00D94EB6" w:rsidP="00F60FBD">
      <w:pPr>
        <w:rPr>
          <w:rFonts w:cs="Noto Sans"/>
          <w:sz w:val="24"/>
          <w:szCs w:val="24"/>
        </w:rPr>
      </w:pPr>
      <w:r>
        <w:rPr>
          <w:rFonts w:cs="Noto Sans"/>
          <w:noProof/>
          <w:sz w:val="24"/>
          <w:szCs w:val="24"/>
          <w:lang w:val="es-ES" w:eastAsia="es-ES"/>
        </w:rPr>
        <w:pict>
          <v:shape id="_x0000_s1067" type="#_x0000_t202" style="position:absolute;margin-left:186.45pt;margin-top:12.15pt;width:249.3pt;height:252.4pt;z-index:251682816" stroked="f">
            <v:textbox>
              <w:txbxContent>
                <w:p w:rsidR="00E56BD0" w:rsidRDefault="00E56BD0">
                  <w:r w:rsidRPr="002F4A6D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2885085" cy="2904134"/>
                        <wp:effectExtent l="0" t="0" r="0" b="0"/>
                        <wp:docPr id="60" name="Gráfico 4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2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733FD" w:rsidRPr="00136A00" w:rsidRDefault="00C733FD" w:rsidP="00F60FBD">
      <w:pPr>
        <w:rPr>
          <w:rFonts w:cs="Noto Sans"/>
          <w:sz w:val="24"/>
          <w:szCs w:val="24"/>
        </w:rPr>
      </w:pPr>
    </w:p>
    <w:p w:rsidR="00C733FD" w:rsidRPr="00136A00" w:rsidRDefault="00C733FD" w:rsidP="00F60FBD">
      <w:pPr>
        <w:rPr>
          <w:rFonts w:cs="Noto Sans"/>
          <w:sz w:val="24"/>
          <w:szCs w:val="24"/>
        </w:rPr>
      </w:pPr>
    </w:p>
    <w:p w:rsidR="00C733FD" w:rsidRPr="00136A00" w:rsidRDefault="00C733FD" w:rsidP="00F60FBD">
      <w:pPr>
        <w:rPr>
          <w:rFonts w:cs="Noto Sans"/>
          <w:sz w:val="24"/>
          <w:szCs w:val="24"/>
        </w:rPr>
      </w:pPr>
    </w:p>
    <w:p w:rsidR="00C733FD" w:rsidRPr="00136A00" w:rsidRDefault="00C733FD" w:rsidP="00F60FBD">
      <w:pPr>
        <w:rPr>
          <w:rFonts w:cs="Noto Sans"/>
          <w:sz w:val="24"/>
          <w:szCs w:val="24"/>
        </w:rPr>
      </w:pPr>
    </w:p>
    <w:p w:rsidR="00C733FD" w:rsidRPr="00136A00" w:rsidRDefault="00C733FD" w:rsidP="00F60FBD">
      <w:pPr>
        <w:rPr>
          <w:rFonts w:cs="Noto Sans"/>
          <w:sz w:val="24"/>
          <w:szCs w:val="24"/>
        </w:rPr>
      </w:pPr>
    </w:p>
    <w:p w:rsidR="00C733FD" w:rsidRPr="00136A00" w:rsidRDefault="00C733FD" w:rsidP="00F60FBD">
      <w:pPr>
        <w:ind w:left="2124"/>
        <w:rPr>
          <w:rFonts w:cs="Noto Sans"/>
          <w:sz w:val="24"/>
          <w:szCs w:val="24"/>
        </w:rPr>
      </w:pPr>
    </w:p>
    <w:p w:rsidR="00C733FD" w:rsidRDefault="00C733FD" w:rsidP="00F60FBD">
      <w:pPr>
        <w:rPr>
          <w:rFonts w:cs="Noto Sans"/>
          <w:b/>
          <w:i/>
          <w:color w:val="C30045"/>
        </w:rPr>
      </w:pPr>
    </w:p>
    <w:p w:rsidR="00BF7C4D" w:rsidRDefault="00BF7C4D" w:rsidP="00F60FBD">
      <w:pPr>
        <w:rPr>
          <w:rFonts w:cs="Noto Sans"/>
          <w:b/>
          <w:i/>
          <w:color w:val="C30045"/>
        </w:rPr>
      </w:pPr>
    </w:p>
    <w:p w:rsidR="00BF7C4D" w:rsidRDefault="00BF7C4D" w:rsidP="00F60FBD">
      <w:pPr>
        <w:rPr>
          <w:rFonts w:cs="Noto Sans"/>
          <w:b/>
          <w:i/>
          <w:color w:val="C30045"/>
        </w:rPr>
      </w:pPr>
    </w:p>
    <w:p w:rsidR="00BF7C4D" w:rsidRDefault="00BF7C4D" w:rsidP="00F60FBD">
      <w:pPr>
        <w:rPr>
          <w:rFonts w:cs="Noto Sans"/>
          <w:b/>
          <w:i/>
          <w:color w:val="C30045"/>
        </w:rPr>
      </w:pPr>
    </w:p>
    <w:p w:rsidR="00BF7C4D" w:rsidRDefault="00BF7C4D" w:rsidP="00F60FBD">
      <w:pPr>
        <w:rPr>
          <w:rFonts w:cs="Noto Sans"/>
          <w:b/>
          <w:i/>
          <w:color w:val="C30045"/>
        </w:rPr>
      </w:pPr>
    </w:p>
    <w:p w:rsidR="00BF7C4D" w:rsidRDefault="00BF7C4D" w:rsidP="00F60FBD">
      <w:pPr>
        <w:rPr>
          <w:rFonts w:cs="Noto Sans"/>
          <w:b/>
          <w:i/>
          <w:color w:val="C30045"/>
        </w:rPr>
      </w:pPr>
    </w:p>
    <w:p w:rsidR="00BF7C4D" w:rsidRDefault="00BF7C4D" w:rsidP="00F60FBD">
      <w:pPr>
        <w:rPr>
          <w:rFonts w:cs="Noto Sans"/>
          <w:b/>
          <w:i/>
          <w:color w:val="C30045"/>
        </w:rPr>
      </w:pPr>
    </w:p>
    <w:p w:rsidR="00BF7C4D" w:rsidRDefault="00BF7C4D" w:rsidP="00F60FBD">
      <w:pPr>
        <w:rPr>
          <w:rFonts w:cs="Noto Sans"/>
          <w:b/>
          <w:i/>
          <w:color w:val="C30045"/>
        </w:rPr>
      </w:pPr>
    </w:p>
    <w:p w:rsidR="00C12EFF" w:rsidRDefault="00C12EFF" w:rsidP="00F60FBD">
      <w:pPr>
        <w:rPr>
          <w:rFonts w:cs="Noto Sans"/>
          <w:b/>
          <w:i/>
          <w:color w:val="C30045"/>
        </w:rPr>
      </w:pPr>
    </w:p>
    <w:p w:rsidR="00C733FD" w:rsidRDefault="00D94EB6" w:rsidP="00F60FBD">
      <w:pPr>
        <w:rPr>
          <w:rFonts w:cs="Noto Sans"/>
          <w:b/>
          <w:i/>
          <w:color w:val="C30045"/>
        </w:rPr>
      </w:pPr>
      <w:r w:rsidRPr="00D94EB6">
        <w:rPr>
          <w:rFonts w:cs="Noto Sans"/>
          <w:noProof/>
          <w:lang w:eastAsia="es-ES"/>
        </w:rPr>
        <w:pict>
          <v:shape id="_x0000_s1050" type="#_x0000_t202" style="position:absolute;margin-left:-3.3pt;margin-top:12.3pt;width:465pt;height:153.75pt;z-index:251665408;mso-width-relative:margin;mso-height-relative:margin" stroked="f">
            <v:textbox style="mso-next-textbox:#_x0000_s1050">
              <w:txbxContent>
                <w:p w:rsidR="00E56BD0" w:rsidRDefault="00E56BD0" w:rsidP="00F60FBD">
                  <w:pPr>
                    <w:rPr>
                      <w:b/>
                      <w:color w:val="C30045"/>
                      <w:sz w:val="20"/>
                      <w:szCs w:val="20"/>
                    </w:rPr>
                  </w:pPr>
                  <w:r>
                    <w:rPr>
                      <w:b/>
                      <w:color w:val="C30045"/>
                      <w:sz w:val="20"/>
                      <w:szCs w:val="20"/>
                    </w:rPr>
                    <w:tab/>
                  </w:r>
                  <w:r>
                    <w:rPr>
                      <w:b/>
                      <w:color w:val="C30045"/>
                      <w:sz w:val="20"/>
                      <w:szCs w:val="20"/>
                    </w:rPr>
                    <w:tab/>
                  </w:r>
                  <w:r>
                    <w:rPr>
                      <w:b/>
                      <w:color w:val="C30045"/>
                      <w:sz w:val="20"/>
                      <w:szCs w:val="20"/>
                    </w:rPr>
                    <w:tab/>
                  </w:r>
                  <w:r>
                    <w:rPr>
                      <w:b/>
                      <w:color w:val="C30045"/>
                      <w:sz w:val="20"/>
                      <w:szCs w:val="20"/>
                    </w:rPr>
                    <w:tab/>
                  </w:r>
                  <w:r>
                    <w:rPr>
                      <w:b/>
                      <w:color w:val="C30045"/>
                      <w:sz w:val="20"/>
                      <w:szCs w:val="20"/>
                    </w:rPr>
                    <w:tab/>
                  </w:r>
                  <w:r>
                    <w:rPr>
                      <w:b/>
                      <w:color w:val="C30045"/>
                      <w:sz w:val="20"/>
                      <w:szCs w:val="20"/>
                    </w:rPr>
                    <w:tab/>
                  </w:r>
                  <w:r>
                    <w:rPr>
                      <w:b/>
                      <w:color w:val="C30045"/>
                      <w:sz w:val="20"/>
                      <w:szCs w:val="20"/>
                    </w:rPr>
                    <w:tab/>
                  </w:r>
                  <w:r w:rsidRPr="00B84EED">
                    <w:rPr>
                      <w:b/>
                      <w:noProof/>
                      <w:color w:val="C30045"/>
                      <w:sz w:val="20"/>
                      <w:szCs w:val="20"/>
                      <w:lang w:val="es-ES" w:eastAsia="es-ES"/>
                    </w:rPr>
                    <w:drawing>
                      <wp:inline distT="0" distB="0" distL="0" distR="0">
                        <wp:extent cx="2486025" cy="1838325"/>
                        <wp:effectExtent l="0" t="0" r="0" b="0"/>
                        <wp:docPr id="26" name="Gráfico 6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3"/>
                          </a:graphicData>
                        </a:graphic>
                      </wp:inline>
                    </w:drawing>
                  </w:r>
                </w:p>
                <w:p w:rsidR="00E56BD0" w:rsidRDefault="00E56BD0" w:rsidP="00F60FBD">
                  <w:pPr>
                    <w:ind w:hanging="142"/>
                    <w:rPr>
                      <w:b/>
                      <w:color w:val="C30045"/>
                      <w:sz w:val="20"/>
                      <w:szCs w:val="20"/>
                    </w:rPr>
                  </w:pPr>
                </w:p>
                <w:p w:rsidR="00E56BD0" w:rsidRDefault="00E56BD0" w:rsidP="00F60FBD">
                  <w:pPr>
                    <w:ind w:hanging="142"/>
                    <w:rPr>
                      <w:b/>
                      <w:color w:val="C30045"/>
                      <w:sz w:val="20"/>
                      <w:szCs w:val="20"/>
                    </w:rPr>
                  </w:pPr>
                </w:p>
                <w:p w:rsidR="00E56BD0" w:rsidRDefault="00E56BD0" w:rsidP="00F60FBD">
                  <w:pPr>
                    <w:ind w:hanging="142"/>
                    <w:rPr>
                      <w:b/>
                      <w:color w:val="C30045"/>
                      <w:sz w:val="20"/>
                      <w:szCs w:val="20"/>
                    </w:rPr>
                  </w:pPr>
                </w:p>
                <w:p w:rsidR="00E56BD0" w:rsidRDefault="00E56BD0" w:rsidP="00F60FBD">
                  <w:pPr>
                    <w:ind w:hanging="142"/>
                    <w:rPr>
                      <w:b/>
                      <w:color w:val="C30045"/>
                      <w:sz w:val="20"/>
                      <w:szCs w:val="20"/>
                    </w:rPr>
                  </w:pPr>
                </w:p>
                <w:p w:rsidR="00E56BD0" w:rsidRDefault="00E56BD0" w:rsidP="00F60FBD">
                  <w:pPr>
                    <w:ind w:hanging="142"/>
                    <w:rPr>
                      <w:b/>
                      <w:color w:val="C30045"/>
                      <w:sz w:val="20"/>
                      <w:szCs w:val="20"/>
                    </w:rPr>
                  </w:pPr>
                </w:p>
                <w:p w:rsidR="00E56BD0" w:rsidRDefault="00E56BD0" w:rsidP="00F60FBD">
                  <w:pPr>
                    <w:ind w:hanging="142"/>
                    <w:rPr>
                      <w:b/>
                      <w:color w:val="C30045"/>
                      <w:sz w:val="20"/>
                      <w:szCs w:val="20"/>
                    </w:rPr>
                  </w:pPr>
                </w:p>
                <w:p w:rsidR="00E56BD0" w:rsidRPr="00B22D38" w:rsidRDefault="00E56BD0" w:rsidP="00F60FBD">
                  <w:pPr>
                    <w:ind w:hanging="142"/>
                    <w:rPr>
                      <w:b/>
                      <w:color w:val="C30045"/>
                      <w:sz w:val="20"/>
                      <w:szCs w:val="20"/>
                    </w:rPr>
                  </w:pPr>
                </w:p>
                <w:p w:rsidR="00E56BD0" w:rsidRPr="00372F2C" w:rsidRDefault="00E56BD0" w:rsidP="00F60FBD"/>
              </w:txbxContent>
            </v:textbox>
          </v:shape>
        </w:pict>
      </w:r>
      <w:r w:rsidR="00C733FD">
        <w:rPr>
          <w:rFonts w:cs="Noto Sans"/>
          <w:b/>
          <w:i/>
          <w:color w:val="C30045"/>
        </w:rPr>
        <w:t>Termini</w:t>
      </w:r>
    </w:p>
    <w:p w:rsidR="00C12EFF" w:rsidRPr="00CE4AAD" w:rsidRDefault="00C12EFF" w:rsidP="00F60FBD">
      <w:pPr>
        <w:rPr>
          <w:rFonts w:cs="Noto Sans"/>
          <w:b/>
          <w:i/>
          <w:color w:val="C30045"/>
        </w:rPr>
      </w:pPr>
    </w:p>
    <w:p w:rsidR="00C733FD" w:rsidRPr="00CE4AAD" w:rsidRDefault="00D94EB6" w:rsidP="00F60FBD">
      <w:pPr>
        <w:rPr>
          <w:rFonts w:cs="Noto Sans"/>
          <w:b/>
          <w:i/>
        </w:rPr>
      </w:pPr>
      <w:r w:rsidRPr="00D94EB6">
        <w:rPr>
          <w:rFonts w:cs="Noto Sans"/>
          <w:noProof/>
          <w:lang w:eastAsia="es-ES"/>
        </w:rPr>
        <w:pict>
          <v:shape id="_x0000_s1051" type="#_x0000_t202" style="position:absolute;margin-left:-8.55pt;margin-top:1.9pt;width:195pt;height:120.05pt;z-index:251666432" stroked="f">
            <v:textbox>
              <w:txbxContent>
                <w:p w:rsidR="00E56BD0" w:rsidRPr="00CE4AAD" w:rsidRDefault="00E56BD0" w:rsidP="00AF74E5">
                  <w:pPr>
                    <w:rPr>
                      <w:rFonts w:cs="Noto Sans"/>
                    </w:rPr>
                  </w:pPr>
                  <w:r w:rsidRPr="00CE4AAD">
                    <w:rPr>
                      <w:rFonts w:cs="Noto Sans"/>
                    </w:rPr>
                    <w:t>Qu</w:t>
                  </w:r>
                  <w:r>
                    <w:rPr>
                      <w:rFonts w:cs="Noto Sans"/>
                    </w:rPr>
                    <w:t>ant al termini de tramitació, a 15 de març de 2017</w:t>
                  </w:r>
                  <w:r w:rsidRPr="00CE4AAD">
                    <w:rPr>
                      <w:rFonts w:cs="Noto Sans"/>
                    </w:rPr>
                    <w:t xml:space="preserve"> s’havien tramitat fora de termini </w:t>
                  </w:r>
                  <w:r w:rsidRPr="004931C7">
                    <w:rPr>
                      <w:rFonts w:cs="Noto Sans"/>
                      <w:b/>
                      <w:color w:val="C30045"/>
                    </w:rPr>
                    <w:t>5</w:t>
                  </w:r>
                  <w:r w:rsidRPr="00CE4AAD">
                    <w:rPr>
                      <w:rFonts w:cs="Noto Sans"/>
                    </w:rPr>
                    <w:t xml:space="preserve"> sol·licituds i </w:t>
                  </w:r>
                  <w:r w:rsidRPr="004931C7">
                    <w:rPr>
                      <w:rFonts w:cs="Noto Sans"/>
                      <w:b/>
                      <w:color w:val="C30045"/>
                    </w:rPr>
                    <w:t>1</w:t>
                  </w:r>
                  <w:r w:rsidRPr="00CE4AAD">
                    <w:rPr>
                      <w:rFonts w:cs="Noto Sans"/>
                    </w:rPr>
                    <w:t xml:space="preserve"> dins el termini d’un mes establert a la normativa.</w:t>
                  </w:r>
                </w:p>
                <w:p w:rsidR="00E56BD0" w:rsidRPr="0096339D" w:rsidRDefault="00E56BD0"/>
              </w:txbxContent>
            </v:textbox>
          </v:shape>
        </w:pict>
      </w:r>
    </w:p>
    <w:p w:rsidR="00C733FD" w:rsidRPr="00CE4AAD" w:rsidRDefault="00C733FD" w:rsidP="00F60FBD">
      <w:pPr>
        <w:rPr>
          <w:rFonts w:cs="Noto Sans"/>
        </w:rPr>
      </w:pPr>
    </w:p>
    <w:p w:rsidR="00C733FD" w:rsidRPr="00CE4AAD" w:rsidRDefault="00C733FD" w:rsidP="00F60FBD">
      <w:pPr>
        <w:rPr>
          <w:rFonts w:cs="Noto Sans"/>
          <w:b/>
          <w:i/>
          <w:color w:val="C30045"/>
        </w:rPr>
      </w:pPr>
      <w:r w:rsidRPr="00CE4AAD">
        <w:rPr>
          <w:rFonts w:cs="Noto Sans"/>
          <w:b/>
          <w:i/>
          <w:color w:val="C30045"/>
        </w:rPr>
        <w:t>Terminis</w:t>
      </w:r>
    </w:p>
    <w:p w:rsidR="00C733FD" w:rsidRPr="00CE4AAD" w:rsidRDefault="00C733FD" w:rsidP="00F60FBD">
      <w:pPr>
        <w:rPr>
          <w:rFonts w:cs="Noto Sans"/>
        </w:rPr>
      </w:pPr>
    </w:p>
    <w:p w:rsidR="00C733FD" w:rsidRPr="00CE4AAD" w:rsidRDefault="00C733FD" w:rsidP="00F60FBD">
      <w:pPr>
        <w:rPr>
          <w:rFonts w:cs="Noto Sans"/>
        </w:rPr>
      </w:pPr>
    </w:p>
    <w:p w:rsidR="00C733FD" w:rsidRPr="00136A00" w:rsidRDefault="00C733FD" w:rsidP="00F60FBD">
      <w:pPr>
        <w:rPr>
          <w:rFonts w:cs="Noto Sans"/>
          <w:sz w:val="24"/>
          <w:szCs w:val="24"/>
        </w:rPr>
      </w:pPr>
    </w:p>
    <w:p w:rsidR="00C733FD" w:rsidRPr="00136A00" w:rsidRDefault="00C733FD" w:rsidP="00F60FBD">
      <w:pPr>
        <w:rPr>
          <w:rFonts w:cs="Noto Sans"/>
          <w:sz w:val="24"/>
          <w:szCs w:val="24"/>
        </w:rPr>
      </w:pPr>
    </w:p>
    <w:p w:rsidR="00C733FD" w:rsidRDefault="00C733FD" w:rsidP="00F60FBD">
      <w:pPr>
        <w:rPr>
          <w:rFonts w:cs="Noto Sans"/>
          <w:b/>
          <w:i/>
          <w:color w:val="C30045"/>
          <w:sz w:val="24"/>
          <w:szCs w:val="24"/>
        </w:rPr>
      </w:pPr>
    </w:p>
    <w:p w:rsidR="00C733FD" w:rsidRDefault="00C733FD" w:rsidP="00F60FBD">
      <w:pPr>
        <w:rPr>
          <w:rFonts w:cs="Noto Sans"/>
          <w:b/>
          <w:i/>
          <w:color w:val="C30045"/>
          <w:sz w:val="24"/>
          <w:szCs w:val="24"/>
        </w:rPr>
      </w:pPr>
    </w:p>
    <w:p w:rsidR="0038184A" w:rsidRDefault="0038184A" w:rsidP="00F60FBD">
      <w:pPr>
        <w:rPr>
          <w:rFonts w:cs="Noto Sans"/>
          <w:b/>
          <w:i/>
          <w:color w:val="C30045"/>
          <w:sz w:val="24"/>
          <w:szCs w:val="24"/>
        </w:rPr>
      </w:pPr>
    </w:p>
    <w:p w:rsidR="0038184A" w:rsidRDefault="0038184A" w:rsidP="00F60FBD">
      <w:pPr>
        <w:rPr>
          <w:rFonts w:cs="Noto Sans"/>
          <w:b/>
          <w:i/>
          <w:color w:val="C30045"/>
          <w:sz w:val="24"/>
          <w:szCs w:val="24"/>
        </w:rPr>
      </w:pPr>
    </w:p>
    <w:p w:rsidR="0038184A" w:rsidRDefault="0038184A" w:rsidP="00F60FBD">
      <w:pPr>
        <w:rPr>
          <w:rFonts w:cs="Noto Sans"/>
          <w:b/>
          <w:i/>
          <w:color w:val="C30045"/>
          <w:sz w:val="24"/>
          <w:szCs w:val="24"/>
        </w:rPr>
      </w:pPr>
    </w:p>
    <w:p w:rsidR="0038184A" w:rsidRDefault="00271240" w:rsidP="00271240">
      <w:pPr>
        <w:tabs>
          <w:tab w:val="left" w:pos="6152"/>
        </w:tabs>
        <w:rPr>
          <w:rFonts w:cs="Noto Sans"/>
          <w:b/>
          <w:i/>
          <w:color w:val="C30045"/>
          <w:sz w:val="24"/>
          <w:szCs w:val="24"/>
        </w:rPr>
      </w:pPr>
      <w:r>
        <w:rPr>
          <w:rFonts w:cs="Noto Sans"/>
          <w:b/>
          <w:i/>
          <w:color w:val="C30045"/>
          <w:sz w:val="24"/>
          <w:szCs w:val="24"/>
        </w:rPr>
        <w:tab/>
      </w:r>
    </w:p>
    <w:p w:rsidR="00C733FD" w:rsidRPr="0038184A" w:rsidRDefault="00C733FD" w:rsidP="00F60FBD">
      <w:pPr>
        <w:rPr>
          <w:rFonts w:cs="Noto Sans"/>
          <w:b/>
          <w:i/>
          <w:color w:val="C30045"/>
        </w:rPr>
      </w:pPr>
      <w:r w:rsidRPr="0038184A">
        <w:rPr>
          <w:rFonts w:cs="Noto Sans"/>
          <w:b/>
          <w:i/>
          <w:color w:val="C30045"/>
        </w:rPr>
        <w:t>Matèria</w:t>
      </w:r>
    </w:p>
    <w:p w:rsidR="00C733FD" w:rsidRPr="00136A00" w:rsidRDefault="00271240" w:rsidP="00F60FBD">
      <w:pPr>
        <w:rPr>
          <w:rFonts w:cs="Noto Sans"/>
          <w:b/>
          <w:i/>
          <w:color w:val="C30045"/>
          <w:sz w:val="24"/>
          <w:szCs w:val="24"/>
        </w:rPr>
      </w:pPr>
      <w:r w:rsidRPr="00D94EB6">
        <w:rPr>
          <w:rFonts w:cs="Noto Sans"/>
          <w:b/>
          <w:i/>
          <w:noProof/>
          <w:color w:val="C30045"/>
          <w:sz w:val="24"/>
          <w:szCs w:val="24"/>
          <w:lang w:eastAsia="es-ES"/>
        </w:rPr>
        <w:pict>
          <v:shape id="_x0000_s1053" type="#_x0000_t202" style="position:absolute;margin-left:-46.95pt;margin-top:6.8pt;width:479.8pt;height:186.9pt;z-index:251668480" stroked="f" strokeweight=".5pt">
            <v:textbox style="mso-next-textbox:#_x0000_s1053">
              <w:txbxContent>
                <w:p w:rsidR="00E56BD0" w:rsidRDefault="00E56BD0" w:rsidP="00F60FBD">
                  <w:pPr>
                    <w:ind w:firstLine="1134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8E5FC4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2852928" cy="2055571"/>
                        <wp:effectExtent l="0" t="0" r="0" b="0"/>
                        <wp:docPr id="16" name="Gráfico 9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4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94EB6">
        <w:rPr>
          <w:rFonts w:cs="Noto Sans"/>
          <w:noProof/>
          <w:lang w:eastAsia="es-ES"/>
        </w:rPr>
        <w:pict>
          <v:shape id="_x0000_s1052" type="#_x0000_t202" style="position:absolute;margin-left:-66.7pt;margin-top:6.8pt;width:507pt;height:165.8pt;z-index:251667456" stroked="f" strokeweight=".5pt">
            <v:textbox style="mso-next-textbox:#_x0000_s1052">
              <w:txbxContent>
                <w:p w:rsidR="00E56BD0" w:rsidRDefault="00E56BD0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 w:rsidR="00D94EB6" w:rsidRPr="00D94EB6">
        <w:rPr>
          <w:rFonts w:cs="Noto Sans"/>
          <w:b/>
          <w:i/>
          <w:noProof/>
          <w:color w:val="C30045"/>
          <w:sz w:val="24"/>
          <w:szCs w:val="24"/>
          <w:lang w:eastAsia="es-ES"/>
        </w:rPr>
        <w:pict>
          <v:shape id="_x0000_s1054" type="#_x0000_t202" style="position:absolute;margin-left:220.95pt;margin-top:2.5pt;width:219.35pt;height:143pt;z-index:251669504;mso-position-vertical:absolute" stroked="f">
            <v:textbox>
              <w:txbxContent>
                <w:p w:rsidR="00E56BD0" w:rsidRDefault="00271240">
                  <w:r w:rsidRPr="00271240">
                    <w:drawing>
                      <wp:inline distT="0" distB="0" distL="0" distR="0">
                        <wp:extent cx="2353285" cy="1857121"/>
                        <wp:effectExtent l="0" t="0" r="0" b="0"/>
                        <wp:docPr id="4" name="Gráfico 2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5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94EB6" w:rsidRPr="00D94EB6">
        <w:rPr>
          <w:rFonts w:cs="Noto Sans"/>
          <w:b/>
          <w:i/>
          <w:noProof/>
          <w:color w:val="C30045"/>
          <w:sz w:val="24"/>
          <w:szCs w:val="24"/>
          <w:lang w:eastAsia="es-ES"/>
        </w:rPr>
        <w:pict>
          <v:shape id="_x0000_s1055" type="#_x0000_t202" style="position:absolute;margin-left:-12.3pt;margin-top:14.2pt;width:195pt;height:118.85pt;z-index:251670528;mso-position-vertical:absolute" stroked="f">
            <v:textbox>
              <w:txbxContent>
                <w:p w:rsidR="00E56BD0" w:rsidRPr="0038184A" w:rsidRDefault="00E56BD0" w:rsidP="00F60FBD">
                  <w:pPr>
                    <w:ind w:left="142"/>
                    <w:jc w:val="both"/>
                    <w:rPr>
                      <w:rFonts w:cs="Noto Sans"/>
                    </w:rPr>
                  </w:pPr>
                  <w:r w:rsidRPr="0038184A">
                    <w:rPr>
                      <w:rFonts w:cs="Noto Sans"/>
                    </w:rPr>
                    <w:t xml:space="preserve">Per matèria, de les 4 sol·licituds resoltes, </w:t>
                  </w:r>
                  <w:r w:rsidRPr="0038184A">
                    <w:rPr>
                      <w:rFonts w:cs="Noto Sans"/>
                      <w:b/>
                      <w:color w:val="C30045"/>
                    </w:rPr>
                    <w:t>2</w:t>
                  </w:r>
                  <w:r w:rsidRPr="0038184A">
                    <w:rPr>
                      <w:rFonts w:cs="Noto Sans"/>
                    </w:rPr>
                    <w:t xml:space="preserve">  versen sobre la transparència, </w:t>
                  </w:r>
                  <w:r w:rsidRPr="0038184A">
                    <w:rPr>
                      <w:rFonts w:cs="Noto Sans"/>
                      <w:b/>
                      <w:color w:val="C30045"/>
                    </w:rPr>
                    <w:t>1</w:t>
                  </w:r>
                  <w:r w:rsidRPr="0038184A">
                    <w:rPr>
                      <w:rFonts w:cs="Noto Sans"/>
                    </w:rPr>
                    <w:t xml:space="preserve"> sobre medi ambient i </w:t>
                  </w:r>
                  <w:r w:rsidRPr="0038184A">
                    <w:rPr>
                      <w:rFonts w:cs="Noto Sans"/>
                      <w:b/>
                      <w:color w:val="C30045"/>
                    </w:rPr>
                    <w:t>1</w:t>
                  </w:r>
                  <w:r w:rsidRPr="0038184A">
                    <w:rPr>
                      <w:rFonts w:cs="Noto Sans"/>
                    </w:rPr>
                    <w:t xml:space="preserve"> sobre economia.</w:t>
                  </w:r>
                </w:p>
                <w:p w:rsidR="00E56BD0" w:rsidRDefault="00E56BD0"/>
              </w:txbxContent>
            </v:textbox>
          </v:shape>
        </w:pict>
      </w:r>
    </w:p>
    <w:p w:rsidR="00C733FD" w:rsidRPr="00136A00" w:rsidRDefault="00C733FD" w:rsidP="00F60FBD">
      <w:pPr>
        <w:rPr>
          <w:rFonts w:cs="Noto Sans"/>
          <w:b/>
          <w:i/>
          <w:color w:val="C30045"/>
          <w:sz w:val="24"/>
          <w:szCs w:val="24"/>
        </w:rPr>
      </w:pPr>
    </w:p>
    <w:p w:rsidR="00C733FD" w:rsidRPr="00136A00" w:rsidRDefault="00C733FD" w:rsidP="00F60FBD">
      <w:pPr>
        <w:rPr>
          <w:rFonts w:cs="Noto Sans"/>
          <w:b/>
          <w:i/>
          <w:color w:val="C30045"/>
          <w:sz w:val="24"/>
          <w:szCs w:val="24"/>
        </w:rPr>
      </w:pPr>
    </w:p>
    <w:p w:rsidR="00C733FD" w:rsidRPr="00136A00" w:rsidRDefault="00C733FD" w:rsidP="00F60FBD">
      <w:pPr>
        <w:rPr>
          <w:rFonts w:cs="Noto Sans"/>
          <w:sz w:val="24"/>
          <w:szCs w:val="24"/>
        </w:rPr>
      </w:pPr>
    </w:p>
    <w:p w:rsidR="00C733FD" w:rsidRPr="00136A00" w:rsidRDefault="00C733FD" w:rsidP="00F60FBD">
      <w:pPr>
        <w:rPr>
          <w:rFonts w:cs="Noto Sans"/>
          <w:sz w:val="24"/>
          <w:szCs w:val="24"/>
        </w:rPr>
      </w:pPr>
    </w:p>
    <w:p w:rsidR="00C733FD" w:rsidRPr="00136A00" w:rsidRDefault="00C733FD" w:rsidP="00F60FBD">
      <w:pPr>
        <w:rPr>
          <w:rFonts w:cs="Noto Sans"/>
          <w:sz w:val="24"/>
          <w:szCs w:val="24"/>
        </w:rPr>
      </w:pPr>
    </w:p>
    <w:p w:rsidR="00B76AF4" w:rsidRDefault="00B76AF4" w:rsidP="00D35F63">
      <w:pPr>
        <w:rPr>
          <w:rFonts w:ascii="LegacySanITCBoo" w:hAnsi="LegacySanITCBoo"/>
          <w:b/>
          <w:smallCaps/>
          <w:color w:val="C30045"/>
          <w:sz w:val="36"/>
          <w:szCs w:val="26"/>
        </w:rPr>
      </w:pPr>
    </w:p>
    <w:sectPr w:rsidR="00B76AF4" w:rsidSect="00BF7C4D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 w:code="9"/>
      <w:pgMar w:top="1276" w:right="851" w:bottom="709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BD0" w:rsidRDefault="00E56BD0" w:rsidP="002F3D33">
      <w:r>
        <w:separator/>
      </w:r>
    </w:p>
  </w:endnote>
  <w:endnote w:type="continuationSeparator" w:id="0">
    <w:p w:rsidR="00E56BD0" w:rsidRDefault="00E56BD0" w:rsidP="002F3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iol Regular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BD0" w:rsidRDefault="00E56BD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6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40" w:type="dxa"/>
      </w:tblCellMar>
      <w:tblLook w:val="04A0"/>
    </w:tblPr>
    <w:tblGrid>
      <w:gridCol w:w="2829"/>
      <w:gridCol w:w="4523"/>
      <w:gridCol w:w="2684"/>
    </w:tblGrid>
    <w:tr w:rsidR="00E56BD0" w:rsidRPr="00144C26" w:rsidTr="00B340FE">
      <w:trPr>
        <w:trHeight w:val="1140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E56BD0" w:rsidRPr="00901173" w:rsidRDefault="00E56BD0" w:rsidP="008A232D">
          <w:pPr>
            <w:pStyle w:val="Peudepgina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 xml:space="preserve">c. de </w:t>
          </w:r>
          <w:proofErr w:type="spellStart"/>
          <w:r>
            <w:rPr>
              <w:rFonts w:ascii="Noto Sans" w:hAnsi="Noto Sans" w:cs="Noto Sans"/>
              <w:lang w:val="ca-ES"/>
            </w:rPr>
            <w:t>l’Uruguai</w:t>
          </w:r>
          <w:proofErr w:type="spellEnd"/>
          <w:r>
            <w:rPr>
              <w:rFonts w:ascii="Noto Sans" w:hAnsi="Noto Sans" w:cs="Noto Sans"/>
              <w:lang w:val="ca-ES"/>
            </w:rPr>
            <w:t>, s/n (Palma Arena)</w:t>
          </w:r>
        </w:p>
        <w:p w:rsidR="00E56BD0" w:rsidRPr="00901173" w:rsidRDefault="00E56BD0" w:rsidP="008A232D">
          <w:pPr>
            <w:pStyle w:val="Peudepgina"/>
            <w:rPr>
              <w:rFonts w:ascii="Noto Sans" w:hAnsi="Noto Sans" w:cs="Noto Sans"/>
              <w:lang w:val="ca-ES"/>
            </w:rPr>
          </w:pPr>
          <w:r w:rsidRPr="00901173">
            <w:rPr>
              <w:rFonts w:ascii="Noto Sans" w:hAnsi="Noto Sans" w:cs="Noto Sans"/>
              <w:lang w:val="ca-ES"/>
            </w:rPr>
            <w:t>070</w:t>
          </w:r>
          <w:r>
            <w:rPr>
              <w:rFonts w:ascii="Noto Sans" w:hAnsi="Noto Sans" w:cs="Noto Sans"/>
              <w:lang w:val="ca-ES"/>
            </w:rPr>
            <w:t>10</w:t>
          </w:r>
          <w:r w:rsidRPr="00901173">
            <w:rPr>
              <w:rFonts w:ascii="Noto Sans" w:hAnsi="Noto Sans" w:cs="Noto Sans"/>
              <w:lang w:val="ca-ES"/>
            </w:rPr>
            <w:t xml:space="preserve"> </w:t>
          </w:r>
          <w:r>
            <w:rPr>
              <w:rFonts w:ascii="Noto Sans" w:hAnsi="Noto Sans" w:cs="Noto Sans"/>
              <w:lang w:val="ca-ES"/>
            </w:rPr>
            <w:t>Palma</w:t>
          </w:r>
        </w:p>
        <w:p w:rsidR="00E56BD0" w:rsidRDefault="00E56BD0" w:rsidP="008A232D">
          <w:pPr>
            <w:pStyle w:val="Peudepgina"/>
          </w:pPr>
          <w:r w:rsidRPr="00901173">
            <w:rPr>
              <w:rFonts w:ascii="Noto Sans" w:hAnsi="Noto Sans" w:cs="Noto Sans"/>
              <w:lang w:val="ca-ES"/>
            </w:rPr>
            <w:t xml:space="preserve">Tel. </w:t>
          </w:r>
          <w:r w:rsidRPr="00987362">
            <w:rPr>
              <w:rFonts w:ascii="Noto Sans" w:hAnsi="Noto Sans" w:cs="Noto Sans"/>
              <w:lang w:val="ca-ES"/>
            </w:rPr>
            <w:t>971</w:t>
          </w:r>
          <w:r>
            <w:rPr>
              <w:rFonts w:ascii="Noto Sans" w:hAnsi="Noto Sans" w:cs="Noto Sans"/>
              <w:lang w:val="ca-ES"/>
            </w:rPr>
            <w:t xml:space="preserve"> </w:t>
          </w:r>
          <w:r w:rsidRPr="00987362">
            <w:rPr>
              <w:rFonts w:ascii="Noto Sans" w:hAnsi="Noto Sans" w:cs="Noto Sans"/>
              <w:lang w:val="ca-ES"/>
            </w:rPr>
            <w:t>17</w:t>
          </w:r>
          <w:r>
            <w:rPr>
              <w:rFonts w:ascii="Noto Sans" w:hAnsi="Noto Sans" w:cs="Noto Sans"/>
              <w:lang w:val="ca-ES"/>
            </w:rPr>
            <w:t xml:space="preserve"> </w:t>
          </w:r>
          <w:r w:rsidRPr="00987362">
            <w:rPr>
              <w:rFonts w:ascii="Noto Sans" w:hAnsi="Noto Sans" w:cs="Noto Sans"/>
              <w:lang w:val="ca-ES"/>
            </w:rPr>
            <w:t>77</w:t>
          </w:r>
          <w:r>
            <w:rPr>
              <w:rFonts w:ascii="Noto Sans" w:hAnsi="Noto Sans" w:cs="Noto Sans"/>
              <w:lang w:val="ca-ES"/>
            </w:rPr>
            <w:t xml:space="preserve"> </w:t>
          </w:r>
          <w:r w:rsidRPr="00987362">
            <w:rPr>
              <w:rFonts w:ascii="Noto Sans" w:hAnsi="Noto Sans" w:cs="Noto Sans"/>
              <w:lang w:val="ca-ES"/>
            </w:rPr>
            <w:t>14</w:t>
          </w:r>
        </w:p>
        <w:p w:rsidR="00E56BD0" w:rsidRPr="00144C26" w:rsidRDefault="00E56BD0" w:rsidP="008A232D">
          <w:pPr>
            <w:pStyle w:val="Peudepgina"/>
            <w:rPr>
              <w:rFonts w:ascii="Noto Sans" w:hAnsi="Noto Sans" w:cs="Noto Sans"/>
            </w:rPr>
          </w:pPr>
          <w:r w:rsidRPr="00E60839">
            <w:rPr>
              <w:rFonts w:ascii="Noto Sans" w:hAnsi="Noto Sans" w:cs="Noto Sans"/>
              <w:color w:val="C30045"/>
              <w:lang w:val="ca-ES"/>
            </w:rPr>
            <w:t>http://cpresidencia.caib.es</w:t>
          </w:r>
        </w:p>
      </w:tc>
      <w:tc>
        <w:tcPr>
          <w:tcW w:w="3345" w:type="dxa"/>
          <w:tcBorders>
            <w:top w:val="nil"/>
            <w:left w:val="nil"/>
            <w:bottom w:val="nil"/>
            <w:right w:val="nil"/>
          </w:tcBorders>
        </w:tcPr>
        <w:p w:rsidR="00E56BD0" w:rsidRPr="00144C26" w:rsidRDefault="00E56BD0" w:rsidP="00842E51">
          <w:pPr>
            <w:pStyle w:val="Peudepgina"/>
            <w:jc w:val="center"/>
            <w:rPr>
              <w:rFonts w:ascii="Noto Sans" w:hAnsi="Noto Sans" w:cs="Noto Sans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E56BD0" w:rsidRPr="00144C26" w:rsidRDefault="00E56BD0" w:rsidP="003403A6">
          <w:pPr>
            <w:pStyle w:val="Nmerodepgina"/>
            <w:rPr>
              <w:rFonts w:ascii="Noto Sans" w:hAnsi="Noto Sans" w:cs="Noto Sans"/>
            </w:rPr>
          </w:pPr>
          <w:r w:rsidRPr="00144C26">
            <w:rPr>
              <w:rFonts w:ascii="Noto Sans" w:hAnsi="Noto Sans" w:cs="Noto Sans"/>
            </w:rPr>
            <w:fldChar w:fldCharType="begin"/>
          </w:r>
          <w:r w:rsidRPr="00144C26">
            <w:rPr>
              <w:rFonts w:ascii="Noto Sans" w:hAnsi="Noto Sans" w:cs="Noto Sans"/>
            </w:rPr>
            <w:instrText>PAGE   \* MERGEFORMAT</w:instrText>
          </w:r>
          <w:r w:rsidRPr="00144C26">
            <w:rPr>
              <w:rFonts w:ascii="Noto Sans" w:hAnsi="Noto Sans" w:cs="Noto Sans"/>
            </w:rPr>
            <w:fldChar w:fldCharType="separate"/>
          </w:r>
          <w:r w:rsidR="003D5D70">
            <w:rPr>
              <w:rFonts w:ascii="Noto Sans" w:hAnsi="Noto Sans" w:cs="Noto Sans"/>
              <w:noProof/>
            </w:rPr>
            <w:t>6</w:t>
          </w:r>
          <w:r w:rsidRPr="00144C26">
            <w:rPr>
              <w:rFonts w:ascii="Noto Sans" w:hAnsi="Noto Sans" w:cs="Noto Sans"/>
            </w:rPr>
            <w:fldChar w:fldCharType="end"/>
          </w:r>
        </w:p>
      </w:tc>
    </w:tr>
  </w:tbl>
  <w:p w:rsidR="00E56BD0" w:rsidRPr="00144C26" w:rsidRDefault="00E56BD0">
    <w:pPr>
      <w:pStyle w:val="Piedepgina"/>
      <w:rPr>
        <w:rFonts w:cs="Noto Sans"/>
        <w:sz w:val="15"/>
        <w:szCs w:val="15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6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40" w:type="dxa"/>
      </w:tblCellMar>
      <w:tblLook w:val="04A0"/>
    </w:tblPr>
    <w:tblGrid>
      <w:gridCol w:w="2829"/>
      <w:gridCol w:w="4523"/>
      <w:gridCol w:w="2684"/>
    </w:tblGrid>
    <w:tr w:rsidR="00E56BD0" w:rsidRPr="00901173" w:rsidTr="00B340FE">
      <w:trPr>
        <w:trHeight w:val="1140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E56BD0" w:rsidRPr="00901173" w:rsidRDefault="00E56BD0" w:rsidP="008A232D">
          <w:pPr>
            <w:pStyle w:val="Peudepgina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 xml:space="preserve">C/ de </w:t>
          </w:r>
          <w:proofErr w:type="spellStart"/>
          <w:r>
            <w:rPr>
              <w:rFonts w:ascii="Noto Sans" w:hAnsi="Noto Sans" w:cs="Noto Sans"/>
              <w:lang w:val="ca-ES"/>
            </w:rPr>
            <w:t>l’Uruguai</w:t>
          </w:r>
          <w:proofErr w:type="spellEnd"/>
          <w:r>
            <w:rPr>
              <w:rFonts w:ascii="Noto Sans" w:hAnsi="Noto Sans" w:cs="Noto Sans"/>
              <w:lang w:val="ca-ES"/>
            </w:rPr>
            <w:t>, s/n (Palma Arena)</w:t>
          </w:r>
        </w:p>
        <w:p w:rsidR="00E56BD0" w:rsidRPr="00901173" w:rsidRDefault="00E56BD0" w:rsidP="008A232D">
          <w:pPr>
            <w:pStyle w:val="Peudepgina"/>
            <w:rPr>
              <w:rFonts w:ascii="Noto Sans" w:hAnsi="Noto Sans" w:cs="Noto Sans"/>
              <w:lang w:val="ca-ES"/>
            </w:rPr>
          </w:pPr>
          <w:r w:rsidRPr="00901173">
            <w:rPr>
              <w:rFonts w:ascii="Noto Sans" w:hAnsi="Noto Sans" w:cs="Noto Sans"/>
              <w:lang w:val="ca-ES"/>
            </w:rPr>
            <w:t>070</w:t>
          </w:r>
          <w:r>
            <w:rPr>
              <w:rFonts w:ascii="Noto Sans" w:hAnsi="Noto Sans" w:cs="Noto Sans"/>
              <w:lang w:val="ca-ES"/>
            </w:rPr>
            <w:t>10</w:t>
          </w:r>
          <w:r w:rsidRPr="00901173">
            <w:rPr>
              <w:rFonts w:ascii="Noto Sans" w:hAnsi="Noto Sans" w:cs="Noto Sans"/>
              <w:lang w:val="ca-ES"/>
            </w:rPr>
            <w:t xml:space="preserve"> </w:t>
          </w:r>
          <w:r>
            <w:rPr>
              <w:rFonts w:ascii="Noto Sans" w:hAnsi="Noto Sans" w:cs="Noto Sans"/>
              <w:lang w:val="ca-ES"/>
            </w:rPr>
            <w:t>Palma</w:t>
          </w:r>
        </w:p>
        <w:p w:rsidR="00E56BD0" w:rsidRDefault="00E56BD0" w:rsidP="008A232D">
          <w:pPr>
            <w:pStyle w:val="Peudepgina"/>
          </w:pPr>
          <w:r w:rsidRPr="00901173">
            <w:rPr>
              <w:rFonts w:ascii="Noto Sans" w:hAnsi="Noto Sans" w:cs="Noto Sans"/>
              <w:lang w:val="ca-ES"/>
            </w:rPr>
            <w:t xml:space="preserve">Tel. </w:t>
          </w:r>
          <w:r w:rsidRPr="00987362">
            <w:rPr>
              <w:rFonts w:ascii="Noto Sans" w:hAnsi="Noto Sans" w:cs="Noto Sans"/>
              <w:lang w:val="ca-ES"/>
            </w:rPr>
            <w:t>971</w:t>
          </w:r>
          <w:r>
            <w:rPr>
              <w:rFonts w:ascii="Noto Sans" w:hAnsi="Noto Sans" w:cs="Noto Sans"/>
              <w:lang w:val="ca-ES"/>
            </w:rPr>
            <w:t xml:space="preserve"> </w:t>
          </w:r>
          <w:r w:rsidRPr="00987362">
            <w:rPr>
              <w:rFonts w:ascii="Noto Sans" w:hAnsi="Noto Sans" w:cs="Noto Sans"/>
              <w:lang w:val="ca-ES"/>
            </w:rPr>
            <w:t>17</w:t>
          </w:r>
          <w:r>
            <w:rPr>
              <w:rFonts w:ascii="Noto Sans" w:hAnsi="Noto Sans" w:cs="Noto Sans"/>
              <w:lang w:val="ca-ES"/>
            </w:rPr>
            <w:t xml:space="preserve"> </w:t>
          </w:r>
          <w:r w:rsidRPr="00987362">
            <w:rPr>
              <w:rFonts w:ascii="Noto Sans" w:hAnsi="Noto Sans" w:cs="Noto Sans"/>
              <w:lang w:val="ca-ES"/>
            </w:rPr>
            <w:t>77</w:t>
          </w:r>
          <w:r>
            <w:rPr>
              <w:rFonts w:ascii="Noto Sans" w:hAnsi="Noto Sans" w:cs="Noto Sans"/>
              <w:lang w:val="ca-ES"/>
            </w:rPr>
            <w:t xml:space="preserve"> </w:t>
          </w:r>
          <w:r w:rsidRPr="00987362">
            <w:rPr>
              <w:rFonts w:ascii="Noto Sans" w:hAnsi="Noto Sans" w:cs="Noto Sans"/>
              <w:lang w:val="ca-ES"/>
            </w:rPr>
            <w:t>14</w:t>
          </w:r>
        </w:p>
        <w:p w:rsidR="00E56BD0" w:rsidRPr="00901173" w:rsidRDefault="00E56BD0" w:rsidP="008A232D">
          <w:pPr>
            <w:pStyle w:val="Peudepgina"/>
            <w:rPr>
              <w:rFonts w:ascii="Noto Sans" w:hAnsi="Noto Sans" w:cs="Noto Sans"/>
              <w:color w:val="C30045"/>
            </w:rPr>
          </w:pPr>
          <w:r w:rsidRPr="00E60839">
            <w:rPr>
              <w:rFonts w:ascii="Noto Sans" w:hAnsi="Noto Sans" w:cs="Noto Sans"/>
              <w:color w:val="C30045"/>
              <w:lang w:val="ca-ES"/>
            </w:rPr>
            <w:t>http://cpresidencia.caib.es</w:t>
          </w:r>
        </w:p>
      </w:tc>
      <w:tc>
        <w:tcPr>
          <w:tcW w:w="3345" w:type="dxa"/>
          <w:tcBorders>
            <w:top w:val="nil"/>
            <w:left w:val="nil"/>
            <w:bottom w:val="nil"/>
            <w:right w:val="nil"/>
          </w:tcBorders>
        </w:tcPr>
        <w:p w:rsidR="00E56BD0" w:rsidRPr="00901173" w:rsidRDefault="00E56BD0" w:rsidP="00842E51">
          <w:pPr>
            <w:pStyle w:val="Peudepgina"/>
            <w:jc w:val="center"/>
            <w:rPr>
              <w:rFonts w:ascii="Noto Sans" w:hAnsi="Noto Sans" w:cs="Noto Sans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E56BD0" w:rsidRPr="00901173" w:rsidRDefault="00E56BD0" w:rsidP="003403A6">
          <w:pPr>
            <w:pStyle w:val="Peudepgina"/>
            <w:rPr>
              <w:rFonts w:ascii="Noto Sans" w:hAnsi="Noto Sans" w:cs="Noto Sans"/>
            </w:rPr>
          </w:pPr>
        </w:p>
      </w:tc>
    </w:tr>
  </w:tbl>
  <w:p w:rsidR="00E56BD0" w:rsidRPr="00901173" w:rsidRDefault="00E56BD0" w:rsidP="00AF6E68">
    <w:pPr>
      <w:pStyle w:val="Piedepgina"/>
      <w:rPr>
        <w:rFonts w:cs="Noto Sans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BD0" w:rsidRDefault="00E56BD0" w:rsidP="002F3D33">
      <w:r>
        <w:separator/>
      </w:r>
    </w:p>
  </w:footnote>
  <w:footnote w:type="continuationSeparator" w:id="0">
    <w:p w:rsidR="00E56BD0" w:rsidRDefault="00E56BD0" w:rsidP="002F3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BD0" w:rsidRDefault="00E56BD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BD0" w:rsidRDefault="00E56BD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-1153795</wp:posOffset>
          </wp:positionH>
          <wp:positionV relativeFrom="paragraph">
            <wp:posOffset>-135890</wp:posOffset>
          </wp:positionV>
          <wp:extent cx="542925" cy="1590675"/>
          <wp:effectExtent l="0" t="0" r="0" b="0"/>
          <wp:wrapNone/>
          <wp:docPr id="12" name="2 Imagen" descr="Govern_simplific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Govern_simplific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590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BD0" w:rsidRDefault="00E56BD0" w:rsidP="008F226D">
    <w:pPr>
      <w:pStyle w:val="Encabezado"/>
      <w:spacing w:after="2700"/>
    </w:pPr>
    <w:r>
      <w:rPr>
        <w:noProof/>
        <w:lang w:val="es-ES" w:eastAsia="es-ES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-1111563</wp:posOffset>
          </wp:positionH>
          <wp:positionV relativeFrom="paragraph">
            <wp:posOffset>-131038</wp:posOffset>
          </wp:positionV>
          <wp:extent cx="1923691" cy="1676087"/>
          <wp:effectExtent l="0" t="0" r="0" b="0"/>
          <wp:wrapNone/>
          <wp:docPr id="1" name="0 Imagen" descr="CTRANSP_DGTBG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RANSP_DGTBG-0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3691" cy="16760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C6165A"/>
    <w:rsid w:val="0001132A"/>
    <w:rsid w:val="000156CD"/>
    <w:rsid w:val="00023205"/>
    <w:rsid w:val="000237A9"/>
    <w:rsid w:val="00034A40"/>
    <w:rsid w:val="00036B37"/>
    <w:rsid w:val="00050D54"/>
    <w:rsid w:val="00074F0B"/>
    <w:rsid w:val="00092B9B"/>
    <w:rsid w:val="000950E0"/>
    <w:rsid w:val="000A0494"/>
    <w:rsid w:val="000A7669"/>
    <w:rsid w:val="000B1813"/>
    <w:rsid w:val="000B184C"/>
    <w:rsid w:val="000D7FC3"/>
    <w:rsid w:val="0010508B"/>
    <w:rsid w:val="00110FE4"/>
    <w:rsid w:val="00114152"/>
    <w:rsid w:val="001266B7"/>
    <w:rsid w:val="00144C26"/>
    <w:rsid w:val="001B4283"/>
    <w:rsid w:val="001C76E5"/>
    <w:rsid w:val="001D2A3E"/>
    <w:rsid w:val="001D3D05"/>
    <w:rsid w:val="001E5FD1"/>
    <w:rsid w:val="0020001D"/>
    <w:rsid w:val="00222923"/>
    <w:rsid w:val="002266B1"/>
    <w:rsid w:val="002502C7"/>
    <w:rsid w:val="0025741D"/>
    <w:rsid w:val="002635A5"/>
    <w:rsid w:val="00271240"/>
    <w:rsid w:val="00274B69"/>
    <w:rsid w:val="0029653D"/>
    <w:rsid w:val="002C075E"/>
    <w:rsid w:val="002E219A"/>
    <w:rsid w:val="002F1FA3"/>
    <w:rsid w:val="002F3D33"/>
    <w:rsid w:val="002F4A6D"/>
    <w:rsid w:val="00307F7A"/>
    <w:rsid w:val="00322246"/>
    <w:rsid w:val="00323D33"/>
    <w:rsid w:val="00331224"/>
    <w:rsid w:val="003403A6"/>
    <w:rsid w:val="003419D5"/>
    <w:rsid w:val="00357840"/>
    <w:rsid w:val="00373894"/>
    <w:rsid w:val="0038184A"/>
    <w:rsid w:val="003866E4"/>
    <w:rsid w:val="00392DD5"/>
    <w:rsid w:val="00393F5A"/>
    <w:rsid w:val="003C228C"/>
    <w:rsid w:val="003C7B85"/>
    <w:rsid w:val="003D011E"/>
    <w:rsid w:val="003D5D70"/>
    <w:rsid w:val="003D785A"/>
    <w:rsid w:val="003F6178"/>
    <w:rsid w:val="003F6E57"/>
    <w:rsid w:val="003F771A"/>
    <w:rsid w:val="00466CDE"/>
    <w:rsid w:val="00477927"/>
    <w:rsid w:val="00485578"/>
    <w:rsid w:val="004B638B"/>
    <w:rsid w:val="004C6BE5"/>
    <w:rsid w:val="004D2A64"/>
    <w:rsid w:val="004E1D1F"/>
    <w:rsid w:val="0050440F"/>
    <w:rsid w:val="005244A5"/>
    <w:rsid w:val="005622F6"/>
    <w:rsid w:val="00574AA6"/>
    <w:rsid w:val="00574C0E"/>
    <w:rsid w:val="005953BB"/>
    <w:rsid w:val="005C057F"/>
    <w:rsid w:val="005E3236"/>
    <w:rsid w:val="006013FF"/>
    <w:rsid w:val="00621A5C"/>
    <w:rsid w:val="00635971"/>
    <w:rsid w:val="00637409"/>
    <w:rsid w:val="006377DF"/>
    <w:rsid w:val="00651C37"/>
    <w:rsid w:val="00663E55"/>
    <w:rsid w:val="006776B5"/>
    <w:rsid w:val="006B4CEB"/>
    <w:rsid w:val="006C5013"/>
    <w:rsid w:val="006F0D2E"/>
    <w:rsid w:val="0072100A"/>
    <w:rsid w:val="007265EF"/>
    <w:rsid w:val="0074473A"/>
    <w:rsid w:val="00750C99"/>
    <w:rsid w:val="007567B3"/>
    <w:rsid w:val="00762CDE"/>
    <w:rsid w:val="00772CB3"/>
    <w:rsid w:val="00772EEB"/>
    <w:rsid w:val="00774D29"/>
    <w:rsid w:val="007764CA"/>
    <w:rsid w:val="007C0C85"/>
    <w:rsid w:val="007D487C"/>
    <w:rsid w:val="007E26C0"/>
    <w:rsid w:val="007F36BC"/>
    <w:rsid w:val="007F6F4F"/>
    <w:rsid w:val="0081333C"/>
    <w:rsid w:val="0083573F"/>
    <w:rsid w:val="008413FC"/>
    <w:rsid w:val="00842E51"/>
    <w:rsid w:val="008442CE"/>
    <w:rsid w:val="00872B70"/>
    <w:rsid w:val="00895D5B"/>
    <w:rsid w:val="00896B98"/>
    <w:rsid w:val="008A09F1"/>
    <w:rsid w:val="008A0BCD"/>
    <w:rsid w:val="008A232D"/>
    <w:rsid w:val="008A3278"/>
    <w:rsid w:val="008A4F91"/>
    <w:rsid w:val="008A636B"/>
    <w:rsid w:val="008B7970"/>
    <w:rsid w:val="008E248C"/>
    <w:rsid w:val="008E5F14"/>
    <w:rsid w:val="008F226D"/>
    <w:rsid w:val="008F3D44"/>
    <w:rsid w:val="00901173"/>
    <w:rsid w:val="00910FA7"/>
    <w:rsid w:val="00915A28"/>
    <w:rsid w:val="00970563"/>
    <w:rsid w:val="009A0E69"/>
    <w:rsid w:val="009B3FD2"/>
    <w:rsid w:val="009D0416"/>
    <w:rsid w:val="009D05A6"/>
    <w:rsid w:val="009F36D4"/>
    <w:rsid w:val="00A2137F"/>
    <w:rsid w:val="00A24F99"/>
    <w:rsid w:val="00A31C73"/>
    <w:rsid w:val="00A32066"/>
    <w:rsid w:val="00A34C1F"/>
    <w:rsid w:val="00A45203"/>
    <w:rsid w:val="00A503A0"/>
    <w:rsid w:val="00A70754"/>
    <w:rsid w:val="00A90ED1"/>
    <w:rsid w:val="00A9443C"/>
    <w:rsid w:val="00A94FEA"/>
    <w:rsid w:val="00AA2E2E"/>
    <w:rsid w:val="00AB3999"/>
    <w:rsid w:val="00AE7DD6"/>
    <w:rsid w:val="00AF6E68"/>
    <w:rsid w:val="00AF74E5"/>
    <w:rsid w:val="00B049DA"/>
    <w:rsid w:val="00B2463B"/>
    <w:rsid w:val="00B340FE"/>
    <w:rsid w:val="00B4748B"/>
    <w:rsid w:val="00B474C7"/>
    <w:rsid w:val="00B522DD"/>
    <w:rsid w:val="00B611B6"/>
    <w:rsid w:val="00B615C5"/>
    <w:rsid w:val="00B70D3B"/>
    <w:rsid w:val="00B72590"/>
    <w:rsid w:val="00B76AF4"/>
    <w:rsid w:val="00B86DE2"/>
    <w:rsid w:val="00B96B23"/>
    <w:rsid w:val="00BA5DF3"/>
    <w:rsid w:val="00BC10D0"/>
    <w:rsid w:val="00BF3976"/>
    <w:rsid w:val="00BF7C4D"/>
    <w:rsid w:val="00C004FA"/>
    <w:rsid w:val="00C12EFF"/>
    <w:rsid w:val="00C168B0"/>
    <w:rsid w:val="00C24228"/>
    <w:rsid w:val="00C30964"/>
    <w:rsid w:val="00C41E9C"/>
    <w:rsid w:val="00C6165A"/>
    <w:rsid w:val="00C6481A"/>
    <w:rsid w:val="00C733FD"/>
    <w:rsid w:val="00C77D5C"/>
    <w:rsid w:val="00CC759F"/>
    <w:rsid w:val="00CD43C9"/>
    <w:rsid w:val="00CF32FC"/>
    <w:rsid w:val="00CF5372"/>
    <w:rsid w:val="00D0530C"/>
    <w:rsid w:val="00D12B6D"/>
    <w:rsid w:val="00D35F63"/>
    <w:rsid w:val="00D40806"/>
    <w:rsid w:val="00D44E04"/>
    <w:rsid w:val="00D616E9"/>
    <w:rsid w:val="00D76585"/>
    <w:rsid w:val="00D911CC"/>
    <w:rsid w:val="00D94EB6"/>
    <w:rsid w:val="00DA5056"/>
    <w:rsid w:val="00DB3A48"/>
    <w:rsid w:val="00DD5C0A"/>
    <w:rsid w:val="00DD7696"/>
    <w:rsid w:val="00DF0E12"/>
    <w:rsid w:val="00DF1C34"/>
    <w:rsid w:val="00DF2AFF"/>
    <w:rsid w:val="00DF7C2E"/>
    <w:rsid w:val="00E00452"/>
    <w:rsid w:val="00E16ABC"/>
    <w:rsid w:val="00E3324B"/>
    <w:rsid w:val="00E56BD0"/>
    <w:rsid w:val="00E700D2"/>
    <w:rsid w:val="00E710FA"/>
    <w:rsid w:val="00E922C1"/>
    <w:rsid w:val="00E94268"/>
    <w:rsid w:val="00EA0467"/>
    <w:rsid w:val="00EB69B0"/>
    <w:rsid w:val="00EE3B34"/>
    <w:rsid w:val="00EE77C0"/>
    <w:rsid w:val="00EE7C2F"/>
    <w:rsid w:val="00EF3F93"/>
    <w:rsid w:val="00EF4E56"/>
    <w:rsid w:val="00F1333D"/>
    <w:rsid w:val="00F426AD"/>
    <w:rsid w:val="00F60FBD"/>
    <w:rsid w:val="00F62DA3"/>
    <w:rsid w:val="00F702BF"/>
    <w:rsid w:val="00F8738C"/>
    <w:rsid w:val="00FB249B"/>
    <w:rsid w:val="00FE6B74"/>
    <w:rsid w:val="00FF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971"/>
    <w:rPr>
      <w:rFonts w:ascii="Noto Sans" w:hAnsi="Noto Sans"/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F3D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F3D33"/>
    <w:rPr>
      <w:rFonts w:ascii="Noto Sans" w:hAnsi="Noto Sans"/>
    </w:rPr>
  </w:style>
  <w:style w:type="paragraph" w:styleId="Piedepgina">
    <w:name w:val="footer"/>
    <w:basedOn w:val="Normal"/>
    <w:link w:val="PiedepginaCar"/>
    <w:uiPriority w:val="99"/>
    <w:unhideWhenUsed/>
    <w:rsid w:val="002F3D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D33"/>
    <w:rPr>
      <w:rFonts w:ascii="Noto Sans" w:hAnsi="Noto Sans"/>
    </w:rPr>
  </w:style>
  <w:style w:type="table" w:styleId="Tablaconcuadrcula">
    <w:name w:val="Table Grid"/>
    <w:basedOn w:val="Tablanormal"/>
    <w:uiPriority w:val="59"/>
    <w:rsid w:val="002F3D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3D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D33"/>
    <w:rPr>
      <w:rFonts w:ascii="Tahoma" w:hAnsi="Tahoma" w:cs="Tahoma"/>
      <w:sz w:val="16"/>
      <w:szCs w:val="16"/>
    </w:rPr>
  </w:style>
  <w:style w:type="paragraph" w:customStyle="1" w:styleId="Peudepgina">
    <w:name w:val="Peu de pàgina"/>
    <w:basedOn w:val="Normal"/>
    <w:qFormat/>
    <w:rsid w:val="00AF6E68"/>
    <w:pPr>
      <w:widowControl w:val="0"/>
      <w:autoSpaceDE w:val="0"/>
      <w:autoSpaceDN w:val="0"/>
      <w:adjustRightInd w:val="0"/>
      <w:spacing w:line="220" w:lineRule="atLeast"/>
    </w:pPr>
    <w:rPr>
      <w:rFonts w:ascii="Calibri" w:eastAsia="Times New Roman" w:hAnsi="Calibri" w:cs="Bariol Regular"/>
      <w:sz w:val="15"/>
      <w:szCs w:val="15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419D5"/>
    <w:rPr>
      <w:color w:val="0000FF"/>
      <w:u w:val="single"/>
    </w:rPr>
  </w:style>
  <w:style w:type="paragraph" w:customStyle="1" w:styleId="Nmerodepgina">
    <w:name w:val="Número de pàgina"/>
    <w:basedOn w:val="Peudepgina"/>
    <w:qFormat/>
    <w:rsid w:val="003419D5"/>
    <w:pPr>
      <w:jc w:val="right"/>
    </w:pPr>
    <w:rPr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BF7C4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7C4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7C4D"/>
    <w:rPr>
      <w:rFonts w:ascii="Noto Sans" w:hAnsi="Noto Sans"/>
      <w:lang w:val="ca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7C4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7C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footer" Target="footer1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Plantilles\Conselleria%20de%20Presid&#232;ncia\009.%20Direcci&#243;%20General%20de%20Transpar&#232;ncia%20i%20Bon%20Govern\DGTBG_sense_dades_(p1_6,5)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lofigrp4\dgtranspa\QS\NOVA%20G\10.%20TRANSPARENCIA,%20ACCES%20I%20BON%20GOVERN%20(NG)\10.4%20Dret%20d'acc&#233;s\16-web%20ESTAD&#205;STIQUES%20I%20RESOLUCIONS\Estad&#237;stiques\2016\2017%2011%2024%20Estad&#237;stica%20y%20graficos%20web%2031%20desembre%20de%202016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lofigrp4\dgtranspa\QS\NOVA%20G\10.%20TRANSPARENCIA,%20ACCES%20I%20BON%20GOVERN%20(NG)\10.4%20Dret%20d'acc&#233;s\16-web%20ESTAD&#205;STIQUES%20I%20RESOLUCIONS\Estad&#237;stiques\2016\2017%2011%2024%20Estad&#237;stica%20y%20graficos%20web%2031%20desembre%20de%202016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lofigrp4\dgtranspa\QS\NOVA%20G\10.%20TRANSPARENCIA,%20ACCES%20I%20BON%20GOVERN%20(NG)\10.4%20Dret%20d'acc&#233;s\16-web%20ESTAD&#205;STIQUES%20I%20RESOLUCIONS\Estad&#237;stiques\2016\2017%2011%2024%20Estad&#237;stica%20y%20graficos%20web%2031%20desembre%20de%202016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lofigrp4\dgtranspa\QS\NOVA%20G\10.%20TRANSPARENCIA,%20ACCES%20I%20BON%20GOVERN%20(NG)\10.4%20Dret%20d'acc&#233;s\16-web%20ESTAD&#205;STIQUES%20I%20RESOLUCIONS\Estad&#237;stiques\2016\2017%2011%2024%20Estad&#237;stica%20y%20graficos%20web%2031%20desembre%20de%202016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lofigrp4\dgtranspa\QS\NOVA%20G\10.%20TRANSPARENCIA,%20ACCES%20I%20BON%20GOVERN%20(NG)\10.4%20Dret%20d'acc&#233;s\16-web%20ESTAD&#205;STIQUES%20I%20RESOLUCIONS\Estad&#237;stiques\2016\2017%2011%2016%20Estad&#237;stica%20web%2031%20desembre%20de%202016.xls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\\lofigrp4\dgtranspa\QS\NOVA%20G\10.%20TRANSPARENCIA,%20ACCES%20I%20BON%20GOVERN%20(NG)\10.4%20Dret%20d'acc&#233;s\16-web%20ESTAD&#205;STIQUES%20I%20RESOLUCIONS\Estad&#237;stiques\2016\2017%2011%2029%20Estad&#237;stica%20y%20graficos%20web%2031%20desembre%20de%202016.xls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\\lofigrp4\dgtranspa\QS\NOVA%20G\10.%20TRANSPARENCIA,%20ACCES%20I%20BON%20GOVERN%20(NG)\10.4%20Dret%20d'acc&#233;s\16-web%20ESTAD&#205;STIQUES%20I%20RESOLUCIONS\Estad&#237;stica%202017%2012%2031%20rectificada%202018%2001%2012%20con%20rel%20entre%20estadisiticas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\\lofigrp4\dgtranspa\QS\NOVA%20G\10.%20TRANSPARENCIA,%20ACCES%20I%20BON%20GOVERN%20(NG)\10.4%20Dret%20d'acc&#233;s\16-web%20ESTAD&#205;STIQUES%20I%20RESOLUCIONS\Estad&#237;stiques\2016\2017%2011%2029%20Estad&#237;stica%20y%20graficos%20web%2031%20desembre%20de%202016.xls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\\lofigrp4\dgtranspa\QS\NOVA%20G\10.%20TRANSPARENCIA,%20ACCES%20I%20BON%20GOVERN%20(NG)\10.4%20Dret%20d'acc&#233;s\16-web%20ESTAD&#205;STIQUES%20I%20RESOLUCIONS\Estad&#237;stica%202017%2012%2031%20rectificada%202018%2001%2012%20con%20rel%20entre%20estadisiticas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\\lofigrp4\dgtranspa\QS\NOVA%20G\10.%20TRANSPARENCIA,%20ACCES%20I%20BON%20GOVERN%20(NG)\10.4%20Dret%20d'acc&#233;s\16-web%20ESTAD&#205;STIQUES%20I%20RESOLUCIONS\Estad&#237;stiques\2016\2017%2011%2024%20Estad&#237;stica%20y%20graficos%20web%2031%20desembre%20de%202016.xls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\\lofigrp4\dgtranspa\QS\NOVA%20G\10.%20TRANSPARENCIA,%20ACCES%20I%20BON%20GOVERN%20(NG)\10.4%20Dret%20d'acc&#233;s\16-web%20ESTAD&#205;STIQUES%20I%20RESOLUCIONS\Estad&#237;stiques\2016\2017%2011%2029%20Estad&#237;stica%20y%20graficos%20web%2031%20desembre%20de%202016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lofigrp4\dgtranspa\QS\NOVA%20G\10.%20TRANSPARENCIA,%20ACCES%20I%20BON%20GOVERN%20(NG)\10.4%20Dret%20d'acc&#233;s\16-web%20ESTAD&#205;STIQUES%20I%20RESOLUCIONS\Estad&#237;stiques\2016\2017%2011%2024%20Estad&#237;stica%20y%20graficos%20web%2031%20desembre%20de%202016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lofigrp4\dgtranspa\QS\NOVA%20G\10.%20TRANSPARENCIA,%20ACCES%20I%20BON%20GOVERN%20(NG)\10.4%20Dret%20d'acc&#233;s\16-web%20ESTAD&#205;STIQUES%20I%20RESOLUCIONS\Estad&#237;stiques\2016\2017%2011%2024%20Estad&#237;stica%20y%20graficos%20web%2031%20desembre%20de%202016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lofigrp4\dgtranspa\QS\NOVA%20G\10.%20TRANSPARENCIA,%20ACCES%20I%20BON%20GOVERN%20(NG)\10.4%20Dret%20d'acc&#233;s\16-web%20ESTAD&#205;STIQUES%20I%20RESOLUCIONS\Estad&#237;stiques\2016\2017%2011%2029%20Estad&#237;stica%20y%20graficos%20web%2031%20desembre%20de%202016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lofigrp4\dgtranspa\QS\NOVA%20G\10.%20TRANSPARENCIA,%20ACCES%20I%20BON%20GOVERN%20(NG)\10.4%20Dret%20d'acc&#233;s\16-web%20ESTAD&#205;STIQUES%20I%20RESOLUCIONS\Estad&#237;stiques\2016\2017%2011%2016%20Estad&#237;stica%20web%2031%20desembre%20de%202016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lofigrp4\dgtranspa\QS\NOVA%20G\10.%20TRANSPARENCIA,%20ACCES%20I%20BON%20GOVERN%20(NG)\10.4%20Dret%20d'acc&#233;s\16-web%20ESTAD&#205;STIQUES%20I%20RESOLUCIONS\Estad&#237;stiques\2016\2017%2011%2016%20Estad&#237;stica%20web%2031%20desembre%20de%202016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lofigrp4\dgtranspa\QS\NOVA%20G\10.%20TRANSPARENCIA,%20ACCES%20I%20BON%20GOVERN%20(NG)\10.4%20Dret%20d'acc&#233;s\16-web%20ESTAD&#205;STIQUES%20I%20RESOLUCIONS\Estad&#237;stiques\2016\2017%2011%2024%20Estad&#237;stica%20y%20graficos%20web%2031%20desembre%20de%202016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lofigrp4\dgtranspa\QS\NOVA%20G\10.%20TRANSPARENCIA,%20ACCES%20I%20BON%20GOVERN%20(NG)\10.4%20Dret%20d'acc&#233;s\16-web%20ESTAD&#205;STIQUES%20I%20RESOLUCIONS\Estad&#237;stiques\2016\2017%2011%2024%20Estad&#237;stica%20y%20graficos%20web%2031%20desembre%20de%202016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lofigrp4\dgtranspa\QS\NOVA%20G\10.%20TRANSPARENCIA,%20ACCES%20I%20BON%20GOVERN%20(NG)\10.4%20Dret%20d'acc&#233;s\16-web%20ESTAD&#205;STIQUES%20I%20RESOLUCIONS\Estad&#237;stiques\2016\2017%2011%2024%20Estad&#237;stica%20y%20graficos%20web%2031%20desembre%20de%202016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b="1" baseline="0">
                <a:solidFill>
                  <a:schemeClr val="bg1">
                    <a:lumMod val="50000"/>
                  </a:schemeClr>
                </a:solidFill>
              </a:defRPr>
            </a:pPr>
            <a:r>
              <a:rPr lang="es-ES" sz="900" b="1" baseline="0">
                <a:solidFill>
                  <a:schemeClr val="bg1">
                    <a:lumMod val="50000"/>
                  </a:schemeClr>
                </a:solidFill>
                <a:latin typeface="Noto Sans" pitchFamily="34" charset="0"/>
              </a:rPr>
              <a:t>Sol·licituds rebudes </a:t>
            </a:r>
          </a:p>
        </c:rich>
      </c:tx>
      <c:layout/>
    </c:title>
    <c:view3D>
      <c:perspective val="30"/>
    </c:view3D>
    <c:plotArea>
      <c:layout/>
      <c:line3DChart>
        <c:grouping val="standard"/>
        <c:ser>
          <c:idx val="0"/>
          <c:order val="0"/>
          <c:spPr>
            <a:solidFill>
              <a:srgbClr val="C30045"/>
            </a:solidFill>
          </c:spPr>
          <c:dLbls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sz="800">
                    <a:latin typeface="Noto Sans" pitchFamily="34" charset="0"/>
                    <a:ea typeface="Noto Sans" pitchFamily="34" charset="0"/>
                    <a:cs typeface="Noto Sans" pitchFamily="34" charset="0"/>
                  </a:defRPr>
                </a:pPr>
                <a:endParaRPr lang="es-ES"/>
              </a:p>
            </c:txPr>
            <c:showVal val="1"/>
          </c:dLbls>
          <c:cat>
            <c:strRef>
              <c:f>'Gàfics cat'!$A$4:$A$15</c:f>
              <c:strCache>
                <c:ptCount val="12"/>
                <c:pt idx="0">
                  <c:v>Gener</c:v>
                </c:pt>
                <c:pt idx="1">
                  <c:v>Febrer</c:v>
                </c:pt>
                <c:pt idx="2">
                  <c:v>Març</c:v>
                </c:pt>
                <c:pt idx="3">
                  <c:v>Abril</c:v>
                </c:pt>
                <c:pt idx="4">
                  <c:v>Maig</c:v>
                </c:pt>
                <c:pt idx="5">
                  <c:v>Juny</c:v>
                </c:pt>
                <c:pt idx="6">
                  <c:v>Juliol</c:v>
                </c:pt>
                <c:pt idx="7">
                  <c:v>Agost </c:v>
                </c:pt>
                <c:pt idx="8">
                  <c:v>Setembre </c:v>
                </c:pt>
                <c:pt idx="9">
                  <c:v>Octubre</c:v>
                </c:pt>
                <c:pt idx="10">
                  <c:v>Novembre</c:v>
                </c:pt>
                <c:pt idx="11">
                  <c:v>Desembre</c:v>
                </c:pt>
              </c:strCache>
            </c:strRef>
          </c:cat>
          <c:val>
            <c:numRef>
              <c:f>'Gàfics cat'!$B$4:$B$15</c:f>
              <c:numCache>
                <c:formatCode>General</c:formatCode>
                <c:ptCount val="12"/>
                <c:pt idx="0">
                  <c:v>3</c:v>
                </c:pt>
                <c:pt idx="1">
                  <c:v>6</c:v>
                </c:pt>
                <c:pt idx="2">
                  <c:v>1</c:v>
                </c:pt>
                <c:pt idx="3">
                  <c:v>3</c:v>
                </c:pt>
                <c:pt idx="4">
                  <c:v>7</c:v>
                </c:pt>
                <c:pt idx="5">
                  <c:v>4</c:v>
                </c:pt>
                <c:pt idx="6">
                  <c:v>7</c:v>
                </c:pt>
                <c:pt idx="7">
                  <c:v>5</c:v>
                </c:pt>
                <c:pt idx="8">
                  <c:v>10</c:v>
                </c:pt>
                <c:pt idx="9">
                  <c:v>8</c:v>
                </c:pt>
                <c:pt idx="10">
                  <c:v>4</c:v>
                </c:pt>
                <c:pt idx="11">
                  <c:v>10</c:v>
                </c:pt>
              </c:numCache>
            </c:numRef>
          </c:val>
        </c:ser>
        <c:dLbls>
          <c:showVal val="1"/>
        </c:dLbls>
        <c:axId val="76575104"/>
        <c:axId val="76577408"/>
        <c:axId val="66548608"/>
      </c:line3DChart>
      <c:catAx>
        <c:axId val="7657510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 baseline="0">
                <a:latin typeface="Noto Sans" pitchFamily="34" charset="0"/>
              </a:defRPr>
            </a:pPr>
            <a:endParaRPr lang="es-ES"/>
          </a:p>
        </c:txPr>
        <c:crossAx val="76577408"/>
        <c:crosses val="autoZero"/>
        <c:auto val="1"/>
        <c:lblAlgn val="ctr"/>
        <c:lblOffset val="100"/>
      </c:catAx>
      <c:valAx>
        <c:axId val="7657740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76575104"/>
        <c:crosses val="autoZero"/>
        <c:crossBetween val="between"/>
      </c:valAx>
      <c:serAx>
        <c:axId val="66548608"/>
        <c:scaling>
          <c:orientation val="minMax"/>
        </c:scaling>
        <c:delete val="1"/>
        <c:axPos val="b"/>
        <c:tickLblPos val="none"/>
        <c:crossAx val="76577408"/>
        <c:crosses val="autoZero"/>
      </c:serAx>
    </c:plotArea>
    <c:plotVisOnly val="1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style val="4"/>
  <c:chart>
    <c:autoTitleDeleted val="1"/>
    <c:plotArea>
      <c:layout>
        <c:manualLayout>
          <c:layoutTarget val="inner"/>
          <c:xMode val="edge"/>
          <c:yMode val="edge"/>
          <c:x val="5.4035493581752803E-2"/>
          <c:y val="0.14089279380617994"/>
          <c:w val="0.61538944456267364"/>
          <c:h val="0.70330222235734041"/>
        </c:manualLayout>
      </c:layout>
      <c:pieChart>
        <c:varyColors val="1"/>
        <c:ser>
          <c:idx val="0"/>
          <c:order val="0"/>
          <c:spPr>
            <a:ln>
              <a:solidFill>
                <a:prstClr val="black"/>
              </a:solidFill>
            </a:ln>
          </c:spPr>
          <c:dLbls>
            <c:spPr>
              <a:solidFill>
                <a:sysClr val="window" lastClr="FFFFFF"/>
              </a:solidFill>
              <a:ln>
                <a:solidFill>
                  <a:prstClr val="black"/>
                </a:solidFill>
              </a:ln>
            </c:spPr>
            <c:txPr>
              <a:bodyPr/>
              <a:lstStyle/>
              <a:p>
                <a:pPr>
                  <a:defRPr sz="800" b="1">
                    <a:solidFill>
                      <a:schemeClr val="bg1">
                        <a:lumMod val="50000"/>
                      </a:schemeClr>
                    </a:solidFill>
                    <a:latin typeface="Noto Sans" pitchFamily="34" charset="0"/>
                    <a:ea typeface="Noto Sans" pitchFamily="34" charset="0"/>
                    <a:cs typeface="Noto Sans" pitchFamily="34" charset="0"/>
                  </a:defRPr>
                </a:pPr>
                <a:endParaRPr lang="es-ES"/>
              </a:p>
            </c:txPr>
            <c:showPercent val="1"/>
            <c:showLeaderLines val="1"/>
          </c:dLbls>
          <c:cat>
            <c:strRef>
              <c:f>'Gàfics cat'!$E$248:$E$252</c:f>
              <c:strCache>
                <c:ptCount val="5"/>
                <c:pt idx="0">
                  <c:v>20-30 anys</c:v>
                </c:pt>
                <c:pt idx="1">
                  <c:v>30-40 anys</c:v>
                </c:pt>
                <c:pt idx="2">
                  <c:v>40-50 anys</c:v>
                </c:pt>
                <c:pt idx="3">
                  <c:v>50-60 anys</c:v>
                </c:pt>
                <c:pt idx="4">
                  <c:v>60-70 anys</c:v>
                </c:pt>
              </c:strCache>
            </c:strRef>
          </c:cat>
          <c:val>
            <c:numRef>
              <c:f>'Gàfics cat'!$F$248:$F$252</c:f>
              <c:numCache>
                <c:formatCode>General</c:formatCode>
                <c:ptCount val="5"/>
                <c:pt idx="0">
                  <c:v>3</c:v>
                </c:pt>
                <c:pt idx="1">
                  <c:v>15</c:v>
                </c:pt>
                <c:pt idx="2">
                  <c:v>13</c:v>
                </c:pt>
                <c:pt idx="3">
                  <c:v>15</c:v>
                </c:pt>
                <c:pt idx="4">
                  <c:v>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66882315386252533"/>
          <c:y val="0.14968333736439979"/>
          <c:w val="0.3282042278498985"/>
          <c:h val="0.5938011161574086"/>
        </c:manualLayout>
      </c:layout>
      <c:txPr>
        <a:bodyPr/>
        <a:lstStyle/>
        <a:p>
          <a:pPr>
            <a:defRPr sz="800" b="1" baseline="0">
              <a:solidFill>
                <a:schemeClr val="bg1">
                  <a:lumMod val="50000"/>
                </a:schemeClr>
              </a:solidFill>
              <a:latin typeface="Noto Sans" pitchFamily="34" charset="0"/>
            </a:defRPr>
          </a:pPr>
          <a:endParaRPr lang="es-ES"/>
        </a:p>
      </c:txPr>
    </c:legend>
    <c:plotVisOnly val="1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style val="4"/>
  <c:chart>
    <c:title>
      <c:tx>
        <c:rich>
          <a:bodyPr/>
          <a:lstStyle/>
          <a:p>
            <a:pPr>
              <a:defRPr sz="800"/>
            </a:pPr>
            <a:r>
              <a:rPr lang="es-ES" sz="800"/>
              <a:t>Sol·licituds presentades </a:t>
            </a:r>
          </a:p>
        </c:rich>
      </c:tx>
      <c:layout>
        <c:manualLayout>
          <c:xMode val="edge"/>
          <c:yMode val="edge"/>
          <c:x val="0.37973100421270872"/>
          <c:y val="0"/>
        </c:manualLayout>
      </c:layout>
    </c:title>
    <c:plotArea>
      <c:layout>
        <c:manualLayout>
          <c:layoutTarget val="inner"/>
          <c:xMode val="edge"/>
          <c:yMode val="edge"/>
          <c:x val="8.3737970253718371E-3"/>
          <c:y val="0.11106043147045648"/>
          <c:w val="0.90683940977965949"/>
          <c:h val="0.80366371243953383"/>
        </c:manualLayout>
      </c:layout>
      <c:barChart>
        <c:barDir val="col"/>
        <c:grouping val="stacked"/>
        <c:ser>
          <c:idx val="0"/>
          <c:order val="0"/>
          <c:tx>
            <c:v>Home</c:v>
          </c:tx>
          <c:spPr>
            <a:ln>
              <a:solidFill>
                <a:prstClr val="black"/>
              </a:solidFill>
            </a:ln>
          </c:spPr>
          <c:dLbls>
            <c:spPr>
              <a:solidFill>
                <a:sysClr val="window" lastClr="FFFFFF"/>
              </a:solidFill>
              <a:ln>
                <a:solidFill>
                  <a:prstClr val="black"/>
                </a:solidFill>
              </a:ln>
            </c:spPr>
            <c:showVal val="1"/>
          </c:dLbls>
          <c:cat>
            <c:strRef>
              <c:f>'Gàfics cat'!$E$231:$E$235</c:f>
              <c:strCache>
                <c:ptCount val="5"/>
                <c:pt idx="0">
                  <c:v>20-30 anys</c:v>
                </c:pt>
                <c:pt idx="1">
                  <c:v>30-40 anys</c:v>
                </c:pt>
                <c:pt idx="2">
                  <c:v>40-50 anys</c:v>
                </c:pt>
                <c:pt idx="3">
                  <c:v>50-60 anys</c:v>
                </c:pt>
                <c:pt idx="4">
                  <c:v>60-70 anys</c:v>
                </c:pt>
              </c:strCache>
            </c:strRef>
          </c:cat>
          <c:val>
            <c:numRef>
              <c:f>'Gàfics cat'!$F$231:$F$235</c:f>
              <c:numCache>
                <c:formatCode>General</c:formatCode>
                <c:ptCount val="5"/>
                <c:pt idx="0">
                  <c:v>0</c:v>
                </c:pt>
                <c:pt idx="1">
                  <c:v>12</c:v>
                </c:pt>
                <c:pt idx="2">
                  <c:v>11</c:v>
                </c:pt>
                <c:pt idx="3">
                  <c:v>8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v>Dona</c:v>
          </c:tx>
          <c:spPr>
            <a:ln>
              <a:solidFill>
                <a:prstClr val="black"/>
              </a:solidFill>
            </a:ln>
          </c:spPr>
          <c:dLbls>
            <c:spPr>
              <a:solidFill>
                <a:sysClr val="window" lastClr="FFFFFF"/>
              </a:solidFill>
              <a:ln>
                <a:solidFill>
                  <a:prstClr val="black"/>
                </a:solidFill>
              </a:ln>
            </c:spPr>
            <c:showVal val="1"/>
          </c:dLbls>
          <c:cat>
            <c:strRef>
              <c:f>'Gàfics cat'!$E$231:$E$235</c:f>
              <c:strCache>
                <c:ptCount val="5"/>
                <c:pt idx="0">
                  <c:v>20-30 anys</c:v>
                </c:pt>
                <c:pt idx="1">
                  <c:v>30-40 anys</c:v>
                </c:pt>
                <c:pt idx="2">
                  <c:v>40-50 anys</c:v>
                </c:pt>
                <c:pt idx="3">
                  <c:v>50-60 anys</c:v>
                </c:pt>
                <c:pt idx="4">
                  <c:v>60-70 anys</c:v>
                </c:pt>
              </c:strCache>
            </c:strRef>
          </c:cat>
          <c:val>
            <c:numRef>
              <c:f>'Gàfics cat'!$G$231:$G$235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2</c:v>
                </c:pt>
                <c:pt idx="3">
                  <c:v>7</c:v>
                </c:pt>
                <c:pt idx="4">
                  <c:v>0</c:v>
                </c:pt>
              </c:numCache>
            </c:numRef>
          </c:val>
        </c:ser>
        <c:dLbls>
          <c:showVal val="1"/>
        </c:dLbls>
        <c:gapWidth val="95"/>
        <c:overlap val="100"/>
        <c:axId val="51668096"/>
        <c:axId val="51669632"/>
      </c:barChart>
      <c:catAx>
        <c:axId val="51668096"/>
        <c:scaling>
          <c:orientation val="minMax"/>
        </c:scaling>
        <c:axPos val="b"/>
        <c:majorTickMark val="none"/>
        <c:tickLblPos val="nextTo"/>
        <c:crossAx val="51669632"/>
        <c:crosses val="autoZero"/>
        <c:auto val="1"/>
        <c:lblAlgn val="ctr"/>
        <c:lblOffset val="100"/>
      </c:catAx>
      <c:valAx>
        <c:axId val="51669632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51668096"/>
        <c:crosses val="autoZero"/>
        <c:crossBetween val="between"/>
      </c:valAx>
      <c:spPr>
        <a:ln>
          <a:noFill/>
        </a:ln>
      </c:spPr>
    </c:plotArea>
    <c:legend>
      <c:legendPos val="t"/>
      <c:layout>
        <c:manualLayout>
          <c:xMode val="edge"/>
          <c:yMode val="edge"/>
          <c:x val="0.37131725193373583"/>
          <c:y val="0.11557697352297512"/>
          <c:w val="0.17404917332546974"/>
          <c:h val="0.13071187025066661"/>
        </c:manualLayout>
      </c:layout>
    </c:legend>
    <c:plotVisOnly val="1"/>
  </c:chart>
  <c:spPr>
    <a:ln>
      <a:noFill/>
    </a:ln>
  </c:spPr>
  <c:txPr>
    <a:bodyPr/>
    <a:lstStyle/>
    <a:p>
      <a:pPr>
        <a:defRPr sz="800" b="1" i="0" baseline="0">
          <a:solidFill>
            <a:schemeClr val="bg1">
              <a:lumMod val="50000"/>
            </a:schemeClr>
          </a:solidFill>
          <a:latin typeface="Noto Sans" pitchFamily="34" charset="0"/>
        </a:defRPr>
      </a:pPr>
      <a:endParaRPr lang="es-ES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style val="4"/>
  <c:chart>
    <c:plotArea>
      <c:layout>
        <c:manualLayout>
          <c:layoutTarget val="inner"/>
          <c:xMode val="edge"/>
          <c:yMode val="edge"/>
          <c:x val="6.1956822964696984E-2"/>
          <c:y val="6.2015503875968991E-2"/>
          <c:w val="0.58138138138138007"/>
          <c:h val="0.93798449612403223"/>
        </c:manualLayout>
      </c:layout>
      <c:doughnutChart>
        <c:varyColors val="1"/>
        <c:ser>
          <c:idx val="0"/>
          <c:order val="0"/>
          <c:spPr>
            <a:ln>
              <a:solidFill>
                <a:prstClr val="black"/>
              </a:solidFill>
            </a:ln>
          </c:spPr>
          <c:explosion val="2"/>
          <c:dPt>
            <c:idx val="1"/>
            <c:explosion val="4"/>
          </c:dPt>
          <c:dLbls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800" b="1" baseline="0">
                    <a:solidFill>
                      <a:schemeClr val="bg1">
                        <a:lumMod val="50000"/>
                      </a:schemeClr>
                    </a:solidFill>
                    <a:latin typeface="Noto Sans" pitchFamily="34" charset="0"/>
                    <a:ea typeface="Noto Sans" pitchFamily="34" charset="0"/>
                    <a:cs typeface="Noto Sans" pitchFamily="34" charset="0"/>
                  </a:defRPr>
                </a:pPr>
                <a:endParaRPr lang="es-ES"/>
              </a:p>
            </c:txPr>
            <c:showPercent val="1"/>
          </c:dLbls>
          <c:cat>
            <c:strRef>
              <c:f>Matèries!$A$3:$A$15</c:f>
              <c:strCache>
                <c:ptCount val="13"/>
                <c:pt idx="0">
                  <c:v>Funció pública (13)</c:v>
                </c:pt>
                <c:pt idx="1">
                  <c:v>Salut (12)</c:v>
                </c:pt>
                <c:pt idx="2">
                  <c:v>Medi ambient (10)</c:v>
                </c:pt>
                <c:pt idx="3">
                  <c:v>Transparència (5)</c:v>
                </c:pt>
                <c:pt idx="4">
                  <c:v>Educació (3)</c:v>
                </c:pt>
                <c:pt idx="5">
                  <c:v>Economia (3)</c:v>
                </c:pt>
                <c:pt idx="6">
                  <c:v>Contractes (2)</c:v>
                </c:pt>
                <c:pt idx="7">
                  <c:v>Turisme (2)</c:v>
                </c:pt>
                <c:pt idx="8">
                  <c:v>Esports (1)</c:v>
                </c:pt>
                <c:pt idx="9">
                  <c:v>Consum (1)</c:v>
                </c:pt>
                <c:pt idx="10">
                  <c:v>Comerç i indústria (1)</c:v>
                </c:pt>
                <c:pt idx="11">
                  <c:v>Administració pública i govern (1)</c:v>
                </c:pt>
                <c:pt idx="12">
                  <c:v>Altres (5)</c:v>
                </c:pt>
              </c:strCache>
            </c:strRef>
          </c:cat>
          <c:val>
            <c:numRef>
              <c:f>Matèries!$B$3:$B$15</c:f>
              <c:numCache>
                <c:formatCode>General</c:formatCode>
                <c:ptCount val="13"/>
                <c:pt idx="0">
                  <c:v>13</c:v>
                </c:pt>
                <c:pt idx="1">
                  <c:v>12</c:v>
                </c:pt>
                <c:pt idx="2">
                  <c:v>10</c:v>
                </c:pt>
                <c:pt idx="3">
                  <c:v>5</c:v>
                </c:pt>
                <c:pt idx="4">
                  <c:v>3</c:v>
                </c:pt>
                <c:pt idx="5">
                  <c:v>3</c:v>
                </c:pt>
                <c:pt idx="6">
                  <c:v>2</c:v>
                </c:pt>
                <c:pt idx="7">
                  <c:v>2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5</c:v>
                </c:pt>
              </c:numCache>
            </c:numRef>
          </c:val>
        </c:ser>
        <c:dLbls>
          <c:showPercent val="1"/>
        </c:dLbls>
        <c:firstSliceAng val="0"/>
        <c:holeSize val="50"/>
      </c:doughnut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5840942050222262"/>
          <c:y val="0"/>
          <c:w val="0.34159057949777744"/>
          <c:h val="0.99944635601727749"/>
        </c:manualLayout>
      </c:layout>
      <c:txPr>
        <a:bodyPr/>
        <a:lstStyle/>
        <a:p>
          <a:pPr>
            <a:defRPr sz="800" b="1" baseline="0">
              <a:solidFill>
                <a:schemeClr val="bg1">
                  <a:lumMod val="50000"/>
                </a:schemeClr>
              </a:solidFill>
              <a:latin typeface="Noto Sans" pitchFamily="34" charset="0"/>
              <a:ea typeface="Noto Sans" pitchFamily="34" charset="0"/>
              <a:cs typeface="Noto Sans" pitchFamily="34" charset="0"/>
            </a:defRPr>
          </a:pPr>
          <a:endParaRPr lang="es-ES"/>
        </a:p>
      </c:txPr>
    </c:legend>
    <c:plotVisOnly val="1"/>
    <c:dispBlanksAs val="zero"/>
  </c:chart>
  <c:spPr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autoTitleDeleted val="1"/>
    <c:plotArea>
      <c:layout>
        <c:manualLayout>
          <c:layoutTarget val="inner"/>
          <c:xMode val="edge"/>
          <c:yMode val="edge"/>
          <c:x val="0.38166291360804938"/>
          <c:y val="0"/>
          <c:w val="0.58808179465371702"/>
          <c:h val="1"/>
        </c:manualLayout>
      </c:layout>
      <c:barChart>
        <c:barDir val="bar"/>
        <c:grouping val="stacked"/>
        <c:ser>
          <c:idx val="0"/>
          <c:order val="0"/>
          <c:spPr>
            <a:solidFill>
              <a:srgbClr val="C30045"/>
            </a:solidFill>
          </c:spPr>
          <c:dLbls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sz="800" b="1" baseline="0">
                    <a:solidFill>
                      <a:schemeClr val="bg1">
                        <a:lumMod val="50000"/>
                      </a:schemeClr>
                    </a:solidFill>
                    <a:latin typeface="Noto Sans" pitchFamily="34" charset="0"/>
                  </a:defRPr>
                </a:pPr>
                <a:endParaRPr lang="es-ES"/>
              </a:p>
            </c:txPr>
            <c:showVal val="1"/>
          </c:dLbls>
          <c:cat>
            <c:strRef>
              <c:f>Conselleries!$A$2:$A$10</c:f>
              <c:strCache>
                <c:ptCount val="9"/>
                <c:pt idx="0">
                  <c:v>Educació i Universitat</c:v>
                </c:pt>
                <c:pt idx="1">
                  <c:v>Hisenda i Administracions Públiques</c:v>
                </c:pt>
                <c:pt idx="2">
                  <c:v>Innovació, Recerca i Turisme</c:v>
                </c:pt>
                <c:pt idx="3">
                  <c:v>Medi Ambient, Agricultura i Pesca</c:v>
                </c:pt>
                <c:pt idx="4">
                  <c:v>Presidència</c:v>
                </c:pt>
                <c:pt idx="5">
                  <c:v>Salut</c:v>
                </c:pt>
                <c:pt idx="6">
                  <c:v>Territori, Energia i Mobilitat</c:v>
                </c:pt>
                <c:pt idx="7">
                  <c:v>Transparència, Cultura i Esports</c:v>
                </c:pt>
                <c:pt idx="8">
                  <c:v>Treball, Comerç i Indústria</c:v>
                </c:pt>
              </c:strCache>
            </c:strRef>
          </c:cat>
          <c:val>
            <c:numRef>
              <c:f>Conselleries!$B$2:$B$10</c:f>
              <c:numCache>
                <c:formatCode>General</c:formatCode>
                <c:ptCount val="9"/>
                <c:pt idx="0">
                  <c:v>4</c:v>
                </c:pt>
                <c:pt idx="1">
                  <c:v>9</c:v>
                </c:pt>
                <c:pt idx="2">
                  <c:v>1</c:v>
                </c:pt>
                <c:pt idx="3">
                  <c:v>10</c:v>
                </c:pt>
                <c:pt idx="4">
                  <c:v>6</c:v>
                </c:pt>
                <c:pt idx="5">
                  <c:v>20</c:v>
                </c:pt>
                <c:pt idx="6">
                  <c:v>1</c:v>
                </c:pt>
                <c:pt idx="7">
                  <c:v>7</c:v>
                </c:pt>
                <c:pt idx="8">
                  <c:v>1</c:v>
                </c:pt>
              </c:numCache>
            </c:numRef>
          </c:val>
        </c:ser>
        <c:dLbls>
          <c:showVal val="1"/>
        </c:dLbls>
        <c:gapWidth val="95"/>
        <c:overlap val="100"/>
        <c:axId val="51736960"/>
        <c:axId val="51738496"/>
      </c:barChart>
      <c:catAx>
        <c:axId val="51736960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800" b="1" baseline="0">
                <a:latin typeface="Noto Sans" pitchFamily="34" charset="0"/>
              </a:defRPr>
            </a:pPr>
            <a:endParaRPr lang="es-ES"/>
          </a:p>
        </c:txPr>
        <c:crossAx val="51738496"/>
        <c:crosses val="autoZero"/>
        <c:auto val="1"/>
        <c:lblAlgn val="ctr"/>
        <c:lblOffset val="100"/>
      </c:catAx>
      <c:valAx>
        <c:axId val="51738496"/>
        <c:scaling>
          <c:orientation val="minMax"/>
        </c:scaling>
        <c:delete val="1"/>
        <c:axPos val="b"/>
        <c:numFmt formatCode="General" sourceLinked="1"/>
        <c:tickLblPos val="none"/>
        <c:crossAx val="51736960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baseline="0">
          <a:solidFill>
            <a:schemeClr val="bg1">
              <a:lumMod val="50000"/>
            </a:schemeClr>
          </a:solidFill>
        </a:defRPr>
      </a:pPr>
      <a:endParaRPr lang="es-ES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style val="4"/>
  <c:chart>
    <c:plotArea>
      <c:layout>
        <c:manualLayout>
          <c:layoutTarget val="inner"/>
          <c:xMode val="edge"/>
          <c:yMode val="edge"/>
          <c:x val="6.672044030372451E-2"/>
          <c:y val="0.10984183776820322"/>
          <c:w val="0.36525240414181326"/>
          <c:h val="0.83812781802580594"/>
        </c:manualLayout>
      </c:layout>
      <c:pieChart>
        <c:varyColors val="1"/>
        <c:ser>
          <c:idx val="0"/>
          <c:order val="0"/>
          <c:spPr>
            <a:ln>
              <a:solidFill>
                <a:sysClr val="windowText" lastClr="000000"/>
              </a:solidFill>
            </a:ln>
          </c:spPr>
          <c:explosion val="25"/>
          <c:dLbls>
            <c:spPr>
              <a:solidFill>
                <a:sysClr val="window" lastClr="FFFFFF"/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b="1" i="0" baseline="0">
                    <a:solidFill>
                      <a:schemeClr val="bg1">
                        <a:lumMod val="50000"/>
                      </a:schemeClr>
                    </a:solidFill>
                    <a:latin typeface="Noto Sans" pitchFamily="34" charset="0"/>
                    <a:ea typeface="Noto Sans" pitchFamily="34" charset="0"/>
                    <a:cs typeface="Noto Sans" pitchFamily="34" charset="0"/>
                  </a:defRPr>
                </a:pPr>
                <a:endParaRPr lang="es-ES"/>
              </a:p>
            </c:txPr>
            <c:showVal val="1"/>
            <c:showLeaderLines val="1"/>
          </c:dLbls>
          <c:cat>
            <c:strRef>
              <c:f>'Estadística cat 31 12 2016'!$A$95:$A$96</c:f>
              <c:strCache>
                <c:ptCount val="2"/>
                <c:pt idx="0">
                  <c:v>Resolucions que no han estat objecte de reclamació</c:v>
                </c:pt>
                <c:pt idx="1">
                  <c:v>Resolucions objecte de reclamació</c:v>
                </c:pt>
              </c:strCache>
            </c:strRef>
          </c:cat>
          <c:val>
            <c:numRef>
              <c:f>'Estadística cat 31 12 2016'!$B$95:$B$96</c:f>
              <c:numCache>
                <c:formatCode>0%</c:formatCode>
                <c:ptCount val="2"/>
                <c:pt idx="0">
                  <c:v>0.91</c:v>
                </c:pt>
                <c:pt idx="1">
                  <c:v>9.0000000000000011E-2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50324704952544042"/>
          <c:y val="0.27038526580768812"/>
          <c:w val="0.36674698326722072"/>
          <c:h val="0.4512391916405491"/>
        </c:manualLayout>
      </c:layout>
      <c:txPr>
        <a:bodyPr/>
        <a:lstStyle/>
        <a:p>
          <a:pPr>
            <a:defRPr sz="800" b="1" baseline="0">
              <a:solidFill>
                <a:schemeClr val="bg1">
                  <a:lumMod val="50000"/>
                </a:schemeClr>
              </a:solidFill>
              <a:latin typeface="Noto Sans" pitchFamily="34" charset="0"/>
              <a:ea typeface="Noto Sans" pitchFamily="34" charset="0"/>
              <a:cs typeface="Noto Sans" pitchFamily="34" charset="0"/>
            </a:defRPr>
          </a:pPr>
          <a:endParaRPr lang="es-ES"/>
        </a:p>
      </c:txPr>
    </c:legend>
    <c:plotVisOnly val="1"/>
    <c:dispBlanksAs val="zero"/>
  </c:chart>
  <c:spPr>
    <a:noFill/>
    <a:ln>
      <a:noFill/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style val="4"/>
  <c:chart>
    <c:autoTitleDeleted val="1"/>
    <c:plotArea>
      <c:layout>
        <c:manualLayout>
          <c:layoutTarget val="inner"/>
          <c:xMode val="edge"/>
          <c:yMode val="edge"/>
          <c:x val="0.1453479157283559"/>
          <c:y val="0.24270459677049383"/>
          <c:w val="0.51804641812865493"/>
          <c:h val="0.44638909313193664"/>
        </c:manualLayout>
      </c:layout>
      <c:pieChart>
        <c:varyColors val="1"/>
        <c:ser>
          <c:idx val="0"/>
          <c:order val="0"/>
          <c:spPr>
            <a:ln>
              <a:solidFill>
                <a:prstClr val="black"/>
              </a:solidFill>
            </a:ln>
          </c:spPr>
          <c:dPt>
            <c:idx val="0"/>
            <c:explosion val="5"/>
          </c:dPt>
          <c:dLbls>
            <c:spPr>
              <a:solidFill>
                <a:sysClr val="window" lastClr="FFFFFF"/>
              </a:solidFill>
              <a:ln>
                <a:solidFill>
                  <a:prstClr val="black"/>
                </a:solidFill>
              </a:ln>
            </c:spPr>
            <c:txPr>
              <a:bodyPr/>
              <a:lstStyle/>
              <a:p>
                <a:pPr>
                  <a:defRPr sz="800" b="1" i="0" baseline="0">
                    <a:solidFill>
                      <a:schemeClr val="bg1">
                        <a:lumMod val="50000"/>
                      </a:schemeClr>
                    </a:solidFill>
                    <a:latin typeface="Noto Sans" pitchFamily="34" charset="0"/>
                  </a:defRPr>
                </a:pPr>
                <a:endParaRPr lang="es-ES"/>
              </a:p>
            </c:txPr>
            <c:showPercent val="1"/>
            <c:showLeaderLines val="1"/>
          </c:dLbls>
          <c:cat>
            <c:strRef>
              <c:f>Hoja1!$A$12:$A$16</c:f>
              <c:strCache>
                <c:ptCount val="5"/>
                <c:pt idx="0">
                  <c:v>Estimades (4)</c:v>
                </c:pt>
                <c:pt idx="1">
                  <c:v>Estimades parcialment (0)</c:v>
                </c:pt>
                <c:pt idx="2">
                  <c:v>Desestimades (0)</c:v>
                </c:pt>
                <c:pt idx="3">
                  <c:v>Inadmissió (0)</c:v>
                </c:pt>
                <c:pt idx="4">
                  <c:v>Altres (2)</c:v>
                </c:pt>
              </c:strCache>
            </c:strRef>
          </c:cat>
          <c:val>
            <c:numRef>
              <c:f>Hoja1!$B$12:$B$16</c:f>
              <c:numCache>
                <c:formatCode>General</c:formatCode>
                <c:ptCount val="5"/>
                <c:pt idx="0">
                  <c:v>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67416259439609538"/>
          <c:y val="0.1645273615313034"/>
          <c:w val="0.32583740560390484"/>
          <c:h val="0.66333101018427276"/>
        </c:manualLayout>
      </c:layout>
      <c:txPr>
        <a:bodyPr/>
        <a:lstStyle/>
        <a:p>
          <a:pPr>
            <a:defRPr sz="700" b="1" i="0" baseline="0">
              <a:solidFill>
                <a:schemeClr val="bg1">
                  <a:lumMod val="50000"/>
                </a:schemeClr>
              </a:solidFill>
              <a:latin typeface="Noto Sans" pitchFamily="34" charset="0"/>
            </a:defRPr>
          </a:pPr>
          <a:endParaRPr lang="es-ES"/>
        </a:p>
      </c:txPr>
    </c:legend>
    <c:plotVisOnly val="1"/>
  </c:chart>
  <c:spPr>
    <a:ln>
      <a:noFill/>
    </a:ln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style val="4"/>
  <c:chart>
    <c:plotArea>
      <c:layout>
        <c:manualLayout>
          <c:layoutTarget val="inner"/>
          <c:xMode val="edge"/>
          <c:yMode val="edge"/>
          <c:x val="2.2711404202986438E-2"/>
          <c:y val="0.13145135890271781"/>
          <c:w val="0.47885905021571246"/>
          <c:h val="0.45428206129391124"/>
        </c:manualLayout>
      </c:layout>
      <c:pieChart>
        <c:varyColors val="1"/>
        <c:ser>
          <c:idx val="0"/>
          <c:order val="0"/>
          <c:spPr>
            <a:ln>
              <a:solidFill>
                <a:sysClr val="windowText" lastClr="000000"/>
              </a:solidFill>
            </a:ln>
          </c:spPr>
          <c:explosion val="25"/>
          <c:dLbls>
            <c:dLbl>
              <c:idx val="0"/>
              <c:spPr>
                <a:solidFill>
                  <a:prstClr val="white"/>
                </a:solidFill>
                <a:ln>
                  <a:solidFill>
                    <a:sysClr val="windowText" lastClr="000000"/>
                  </a:solidFill>
                </a:ln>
              </c:spPr>
              <c:txPr>
                <a:bodyPr/>
                <a:lstStyle/>
                <a:p>
                  <a:pPr>
                    <a:defRPr sz="800" b="1" i="0" baseline="0">
                      <a:solidFill>
                        <a:schemeClr val="bg1">
                          <a:lumMod val="50000"/>
                        </a:schemeClr>
                      </a:solidFill>
                      <a:latin typeface="Noto Sans" pitchFamily="34" charset="0"/>
                      <a:ea typeface="Noto Sans" pitchFamily="34" charset="0"/>
                      <a:cs typeface="Noto Sans" pitchFamily="34" charset="0"/>
                    </a:defRPr>
                  </a:pPr>
                  <a:endParaRPr lang="es-ES"/>
                </a:p>
              </c:txPr>
            </c:dLbl>
            <c:dLbl>
              <c:idx val="1"/>
              <c:spPr>
                <a:solidFill>
                  <a:prstClr val="white"/>
                </a:solidFill>
                <a:ln>
                  <a:solidFill>
                    <a:sysClr val="windowText" lastClr="000000"/>
                  </a:solidFill>
                </a:ln>
              </c:spPr>
              <c:txPr>
                <a:bodyPr/>
                <a:lstStyle/>
                <a:p>
                  <a:pPr>
                    <a:defRPr sz="800" b="1" i="0" baseline="0">
                      <a:solidFill>
                        <a:schemeClr val="bg1">
                          <a:lumMod val="50000"/>
                        </a:schemeClr>
                      </a:solidFill>
                      <a:latin typeface="Noto Sans" pitchFamily="34" charset="0"/>
                      <a:ea typeface="Noto Sans" pitchFamily="34" charset="0"/>
                      <a:cs typeface="Noto Sans" pitchFamily="34" charset="0"/>
                    </a:defRPr>
                  </a:pPr>
                  <a:endParaRPr lang="es-ES"/>
                </a:p>
              </c:txPr>
            </c:dLbl>
            <c:dLbl>
              <c:idx val="2"/>
              <c:spPr>
                <a:solidFill>
                  <a:prstClr val="white"/>
                </a:solidFill>
                <a:ln>
                  <a:solidFill>
                    <a:sysClr val="windowText" lastClr="000000"/>
                  </a:solidFill>
                </a:ln>
              </c:spPr>
              <c:txPr>
                <a:bodyPr/>
                <a:lstStyle/>
                <a:p>
                  <a:pPr>
                    <a:defRPr sz="800" b="1" i="0" baseline="0">
                      <a:solidFill>
                        <a:schemeClr val="bg1">
                          <a:lumMod val="50000"/>
                        </a:schemeClr>
                      </a:solidFill>
                      <a:latin typeface="Noto Sans" pitchFamily="34" charset="0"/>
                      <a:ea typeface="Noto Sans" pitchFamily="34" charset="0"/>
                      <a:cs typeface="Noto Sans" pitchFamily="34" charset="0"/>
                    </a:defRPr>
                  </a:pPr>
                  <a:endParaRPr lang="es-ES"/>
                </a:p>
              </c:txPr>
            </c:dLbl>
            <c:dLbl>
              <c:idx val="3"/>
              <c:spPr>
                <a:solidFill>
                  <a:prstClr val="white"/>
                </a:solidFill>
                <a:ln>
                  <a:solidFill>
                    <a:sysClr val="windowText" lastClr="000000"/>
                  </a:solidFill>
                </a:ln>
              </c:spPr>
              <c:txPr>
                <a:bodyPr/>
                <a:lstStyle/>
                <a:p>
                  <a:pPr>
                    <a:defRPr sz="800" b="1" i="0" baseline="0">
                      <a:solidFill>
                        <a:schemeClr val="bg1">
                          <a:lumMod val="50000"/>
                        </a:schemeClr>
                      </a:solidFill>
                      <a:latin typeface="Noto Sans" pitchFamily="34" charset="0"/>
                      <a:ea typeface="Noto Sans" pitchFamily="34" charset="0"/>
                      <a:cs typeface="Noto Sans" pitchFamily="34" charset="0"/>
                    </a:defRPr>
                  </a:pPr>
                  <a:endParaRPr lang="es-ES"/>
                </a:p>
              </c:txPr>
            </c:dLbl>
            <c:dLbl>
              <c:idx val="4"/>
              <c:spPr>
                <a:solidFill>
                  <a:prstClr val="white"/>
                </a:solidFill>
                <a:ln>
                  <a:solidFill>
                    <a:sysClr val="windowText" lastClr="000000"/>
                  </a:solidFill>
                </a:ln>
              </c:spPr>
              <c:txPr>
                <a:bodyPr/>
                <a:lstStyle/>
                <a:p>
                  <a:pPr>
                    <a:defRPr sz="800" b="1" i="0" baseline="0">
                      <a:solidFill>
                        <a:schemeClr val="bg1">
                          <a:lumMod val="50000"/>
                        </a:schemeClr>
                      </a:solidFill>
                      <a:latin typeface="Noto Sans" pitchFamily="34" charset="0"/>
                      <a:ea typeface="Noto Sans" pitchFamily="34" charset="0"/>
                      <a:cs typeface="Noto Sans" pitchFamily="34" charset="0"/>
                    </a:defRPr>
                  </a:pPr>
                  <a:endParaRPr lang="es-ES"/>
                </a:p>
              </c:txPr>
            </c:dLbl>
            <c:dLbl>
              <c:idx val="5"/>
              <c:spPr>
                <a:solidFill>
                  <a:prstClr val="white"/>
                </a:solidFill>
                <a:ln>
                  <a:solidFill>
                    <a:sysClr val="windowText" lastClr="000000"/>
                  </a:solidFill>
                </a:ln>
              </c:spPr>
              <c:txPr>
                <a:bodyPr/>
                <a:lstStyle/>
                <a:p>
                  <a:pPr>
                    <a:defRPr sz="800" b="1" i="0" baseline="0">
                      <a:solidFill>
                        <a:schemeClr val="bg1">
                          <a:lumMod val="50000"/>
                        </a:schemeClr>
                      </a:solidFill>
                      <a:latin typeface="Noto Sans" pitchFamily="34" charset="0"/>
                      <a:ea typeface="Noto Sans" pitchFamily="34" charset="0"/>
                      <a:cs typeface="Noto Sans" pitchFamily="34" charset="0"/>
                    </a:defRPr>
                  </a:pPr>
                  <a:endParaRPr lang="es-ES"/>
                </a:p>
              </c:txPr>
            </c:dLbl>
            <c:dLbl>
              <c:idx val="6"/>
              <c:spPr>
                <a:solidFill>
                  <a:prstClr val="white"/>
                </a:solidFill>
                <a:ln>
                  <a:solidFill>
                    <a:sysClr val="windowText" lastClr="000000"/>
                  </a:solidFill>
                </a:ln>
              </c:spPr>
              <c:txPr>
                <a:bodyPr/>
                <a:lstStyle/>
                <a:p>
                  <a:pPr>
                    <a:defRPr sz="800" b="1" i="0" baseline="0">
                      <a:solidFill>
                        <a:schemeClr val="bg1">
                          <a:lumMod val="50000"/>
                        </a:schemeClr>
                      </a:solidFill>
                      <a:latin typeface="Noto Sans" pitchFamily="34" charset="0"/>
                      <a:ea typeface="Noto Sans" pitchFamily="34" charset="0"/>
                      <a:cs typeface="Noto Sans" pitchFamily="34" charset="0"/>
                    </a:defRPr>
                  </a:pPr>
                  <a:endParaRPr lang="es-ES"/>
                </a:p>
              </c:txPr>
            </c:dLbl>
            <c:spPr>
              <a:solidFill>
                <a:prstClr val="white"/>
              </a:solidFill>
              <a:ln>
                <a:solidFill>
                  <a:sysClr val="windowText" lastClr="000000"/>
                </a:solidFill>
              </a:ln>
            </c:spPr>
            <c:txPr>
              <a:bodyPr/>
              <a:lstStyle/>
              <a:p>
                <a:pPr>
                  <a:defRPr sz="800" baseline="0">
                    <a:solidFill>
                      <a:schemeClr val="bg1">
                        <a:lumMod val="50000"/>
                      </a:schemeClr>
                    </a:solidFill>
                    <a:latin typeface="Noto Sans" pitchFamily="34" charset="0"/>
                    <a:ea typeface="Noto Sans" pitchFamily="34" charset="0"/>
                    <a:cs typeface="Noto Sans" pitchFamily="34" charset="0"/>
                  </a:defRPr>
                </a:pPr>
                <a:endParaRPr lang="es-ES"/>
              </a:p>
            </c:txPr>
            <c:showPercent val="1"/>
            <c:showLeaderLines val="1"/>
          </c:dLbls>
          <c:cat>
            <c:strRef>
              <c:f>'Pendents cat'!$A$26:$A$32</c:f>
              <c:strCache>
                <c:ptCount val="7"/>
                <c:pt idx="0">
                  <c:v>Altres  (o) (remissió a qssi, altres  procediments, etc.) </c:v>
                </c:pt>
                <c:pt idx="1">
                  <c:v>Arxivades (1) (desistiment) </c:v>
                </c:pt>
                <c:pt idx="2">
                  <c:v>Arxivades (0) ( manca d'esmena)</c:v>
                </c:pt>
                <c:pt idx="3">
                  <c:v>Remissió a l'òrgan competent (0)</c:v>
                </c:pt>
                <c:pt idx="4">
                  <c:v>No es disposa de la informació pública (1)</c:v>
                </c:pt>
                <c:pt idx="5">
                  <c:v>No es tracta d'informació pública d'acord amb l'art. 13 (0)</c:v>
                </c:pt>
                <c:pt idx="6">
                  <c:v>Disposició addicional primera (0)</c:v>
                </c:pt>
              </c:strCache>
            </c:strRef>
          </c:cat>
          <c:val>
            <c:numRef>
              <c:f>'Pendents cat'!$B$26:$B$32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48124246587988501"/>
          <c:y val="0"/>
          <c:w val="0.51875753412011527"/>
          <c:h val="0.9953586536976996"/>
        </c:manualLayout>
      </c:layout>
      <c:txPr>
        <a:bodyPr/>
        <a:lstStyle/>
        <a:p>
          <a:pPr>
            <a:defRPr sz="700" b="1">
              <a:solidFill>
                <a:schemeClr val="bg1">
                  <a:lumMod val="50000"/>
                </a:schemeClr>
              </a:solidFill>
              <a:latin typeface="Noto Sans" pitchFamily="34" charset="0"/>
              <a:ea typeface="Noto Sans" pitchFamily="34" charset="0"/>
              <a:cs typeface="Noto Sans" pitchFamily="34" charset="0"/>
            </a:defRPr>
          </a:pPr>
          <a:endParaRPr lang="es-ES"/>
        </a:p>
      </c:txPr>
    </c:legend>
    <c:plotVisOnly val="1"/>
    <c:dispBlanksAs val="zero"/>
  </c:chart>
  <c:spPr>
    <a:noFill/>
    <a:ln>
      <a:noFill/>
    </a:ln>
  </c:sp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style val="4"/>
  <c:chart>
    <c:autoTitleDeleted val="1"/>
    <c:plotArea>
      <c:layout>
        <c:manualLayout>
          <c:layoutTarget val="inner"/>
          <c:xMode val="edge"/>
          <c:yMode val="edge"/>
          <c:x val="8.7781096328476166E-2"/>
          <c:y val="0.12006038105340459"/>
          <c:w val="0.56490099657083093"/>
          <c:h val="0.76393347204656414"/>
        </c:manualLayout>
      </c:layout>
      <c:pieChart>
        <c:varyColors val="1"/>
        <c:ser>
          <c:idx val="0"/>
          <c:order val="0"/>
          <c:spPr>
            <a:ln>
              <a:solidFill>
                <a:prstClr val="black"/>
              </a:solidFill>
            </a:ln>
          </c:spPr>
          <c:dLbls>
            <c:dLbl>
              <c:idx val="0"/>
              <c:layout/>
              <c:showVal val="1"/>
            </c:dLbl>
            <c:dLbl>
              <c:idx val="1"/>
              <c:layout/>
              <c:showVal val="1"/>
            </c:dLbl>
            <c:delete val="1"/>
            <c:spPr>
              <a:solidFill>
                <a:sysClr val="window" lastClr="FFFFFF"/>
              </a:solidFill>
              <a:ln>
                <a:solidFill>
                  <a:prstClr val="black"/>
                </a:solidFill>
              </a:ln>
            </c:spPr>
          </c:dLbls>
          <c:cat>
            <c:strRef>
              <c:f>Hoja1!$A$27:$A$28</c:f>
              <c:strCache>
                <c:ptCount val="2"/>
                <c:pt idx="0">
                  <c:v>Dins termini</c:v>
                </c:pt>
                <c:pt idx="1">
                  <c:v>Fora termini</c:v>
                </c:pt>
              </c:strCache>
            </c:strRef>
          </c:cat>
          <c:val>
            <c:numRef>
              <c:f>Hoja1!$B$27:$B$28</c:f>
              <c:numCache>
                <c:formatCode>General</c:formatCode>
                <c:ptCount val="2"/>
                <c:pt idx="0">
                  <c:v>1</c:v>
                </c:pt>
                <c:pt idx="1">
                  <c:v>5</c:v>
                </c:pt>
              </c:numCache>
            </c:numRef>
          </c:val>
        </c:ser>
        <c:firstSliceAng val="0"/>
      </c:pieChart>
    </c:plotArea>
    <c:legend>
      <c:legendPos val="r"/>
      <c:layout/>
      <c:txPr>
        <a:bodyPr/>
        <a:lstStyle/>
        <a:p>
          <a:pPr>
            <a:defRPr sz="800" b="1" i="0" baseline="0">
              <a:solidFill>
                <a:schemeClr val="bg1">
                  <a:lumMod val="50000"/>
                </a:schemeClr>
              </a:solidFill>
              <a:latin typeface="Noto Sans" pitchFamily="34" charset="0"/>
            </a:defRPr>
          </a:pPr>
          <a:endParaRPr lang="es-ES"/>
        </a:p>
      </c:txPr>
    </c:legend>
    <c:plotVisOnly val="1"/>
  </c:chart>
  <c:spPr>
    <a:ln>
      <a:noFill/>
    </a:ln>
  </c:sp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style val="4"/>
  <c:chart>
    <c:autoTitleDeleted val="1"/>
    <c:plotArea>
      <c:layout>
        <c:manualLayout>
          <c:layoutTarget val="inner"/>
          <c:xMode val="edge"/>
          <c:yMode val="edge"/>
          <c:x val="3.9184530505115431E-2"/>
          <c:y val="0.10600626534586402"/>
          <c:w val="0.50874240719910213"/>
          <c:h val="0.57704578594342371"/>
        </c:manualLayout>
      </c:layout>
      <c:doughnutChart>
        <c:varyColors val="1"/>
        <c:dLbls>
          <c:showPercent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55246708447158388"/>
          <c:y val="2.1852823952561592E-3"/>
          <c:w val="0.42699576838609482"/>
          <c:h val="0.83493681345387782"/>
        </c:manualLayout>
      </c:layout>
      <c:txPr>
        <a:bodyPr/>
        <a:lstStyle/>
        <a:p>
          <a:pPr>
            <a:defRPr b="1">
              <a:solidFill>
                <a:schemeClr val="bg1">
                  <a:lumMod val="50000"/>
                </a:schemeClr>
              </a:solidFill>
            </a:defRPr>
          </a:pPr>
          <a:endParaRPr lang="es-ES"/>
        </a:p>
      </c:txPr>
    </c:legend>
    <c:plotVisOnly val="1"/>
  </c:chart>
  <c:spPr>
    <a:ln>
      <a:noFill/>
    </a:ln>
  </c:sp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style val="4"/>
  <c:chart>
    <c:plotArea>
      <c:layout>
        <c:manualLayout>
          <c:layoutTarget val="inner"/>
          <c:xMode val="edge"/>
          <c:yMode val="edge"/>
          <c:x val="4.3354289854395024E-2"/>
          <c:y val="0.22300593230058785"/>
          <c:w val="0.45421230322719092"/>
          <c:h val="0.57556346624694887"/>
        </c:manualLayout>
      </c:layout>
      <c:pieChart>
        <c:varyColors val="1"/>
        <c:ser>
          <c:idx val="0"/>
          <c:order val="0"/>
          <c:spPr>
            <a:ln>
              <a:solidFill>
                <a:sysClr val="windowText" lastClr="000000"/>
              </a:solidFill>
            </a:ln>
          </c:spPr>
          <c:dLbls>
            <c:spPr>
              <a:solidFill>
                <a:prstClr val="white"/>
              </a:solidFill>
              <a:ln>
                <a:solidFill>
                  <a:sysClr val="windowText" lastClr="000000"/>
                </a:solidFill>
              </a:ln>
            </c:spPr>
            <c:txPr>
              <a:bodyPr/>
              <a:lstStyle/>
              <a:p>
                <a:pPr>
                  <a:defRPr b="1">
                    <a:solidFill>
                      <a:schemeClr val="bg1">
                        <a:lumMod val="50000"/>
                      </a:schemeClr>
                    </a:solidFill>
                  </a:defRPr>
                </a:pPr>
                <a:endParaRPr lang="es-ES"/>
              </a:p>
            </c:txPr>
            <c:showPercent val="1"/>
            <c:showLeaderLines val="1"/>
          </c:dLbls>
          <c:cat>
            <c:strRef>
              <c:f>'Pendents cat'!$A$65:$A$67</c:f>
              <c:strCache>
                <c:ptCount val="3"/>
                <c:pt idx="0">
                  <c:v>Medi ambient (1)</c:v>
                </c:pt>
                <c:pt idx="1">
                  <c:v>Transparència (2)</c:v>
                </c:pt>
                <c:pt idx="2">
                  <c:v>Economia (1)</c:v>
                </c:pt>
              </c:strCache>
            </c:strRef>
          </c:cat>
          <c:val>
            <c:numRef>
              <c:f>'Pendents cat'!$B$65:$B$67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50205373812809484"/>
          <c:y val="0.1860384972223135"/>
          <c:w val="0.45627580169847681"/>
          <c:h val="0.61424538304181575"/>
        </c:manualLayout>
      </c:layout>
      <c:txPr>
        <a:bodyPr/>
        <a:lstStyle/>
        <a:p>
          <a:pPr>
            <a:defRPr sz="800" b="1">
              <a:solidFill>
                <a:schemeClr val="bg1">
                  <a:lumMod val="50000"/>
                </a:schemeClr>
              </a:solidFill>
              <a:latin typeface="Noto Sans" pitchFamily="34" charset="0"/>
              <a:ea typeface="Noto Sans" pitchFamily="34" charset="0"/>
              <a:cs typeface="Noto Sans" pitchFamily="34" charset="0"/>
            </a:defRPr>
          </a:pPr>
          <a:endParaRPr lang="es-ES"/>
        </a:p>
      </c:txPr>
    </c:legend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style val="4"/>
  <c:chart>
    <c:autoTitleDeleted val="1"/>
    <c:plotArea>
      <c:layout>
        <c:manualLayout>
          <c:layoutTarget val="inner"/>
          <c:xMode val="edge"/>
          <c:yMode val="edge"/>
          <c:x val="5.0399804675578391E-3"/>
          <c:y val="0.13157669016863088"/>
          <c:w val="0.44861044985655862"/>
          <c:h val="0.72793393750309743"/>
        </c:manualLayout>
      </c:layout>
      <c:doughnutChart>
        <c:varyColors val="1"/>
        <c:ser>
          <c:idx val="0"/>
          <c:order val="0"/>
          <c:spPr>
            <a:ln>
              <a:solidFill>
                <a:prstClr val="black"/>
              </a:solidFill>
            </a:ln>
          </c:spPr>
          <c:dLbls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</c:spPr>
            <c:txPr>
              <a:bodyPr/>
              <a:lstStyle/>
              <a:p>
                <a:pPr>
                  <a:defRPr sz="900" b="1" baseline="0">
                    <a:solidFill>
                      <a:schemeClr val="bg1">
                        <a:lumMod val="50000"/>
                      </a:schemeClr>
                    </a:solidFill>
                    <a:latin typeface="Noto Sans" pitchFamily="34" charset="0"/>
                  </a:defRPr>
                </a:pPr>
                <a:endParaRPr lang="es-ES"/>
              </a:p>
            </c:txPr>
            <c:showPercent val="1"/>
            <c:showLeaderLines val="1"/>
          </c:dLbls>
          <c:cat>
            <c:strRef>
              <c:f>'Estadística cat 31 12 2016'!$A$18:$A$19</c:f>
              <c:strCache>
                <c:ptCount val="2"/>
                <c:pt idx="0">
                  <c:v>Presencial (19) </c:v>
                </c:pt>
                <c:pt idx="1">
                  <c:v>Telemàtic (49) </c:v>
                </c:pt>
              </c:strCache>
            </c:strRef>
          </c:cat>
          <c:val>
            <c:numRef>
              <c:f>'Estadística cat 31 12 2016'!$B$18:$B$19</c:f>
              <c:numCache>
                <c:formatCode>General</c:formatCode>
                <c:ptCount val="2"/>
                <c:pt idx="0">
                  <c:v>19</c:v>
                </c:pt>
                <c:pt idx="1">
                  <c:v>49</c:v>
                </c:pt>
              </c:numCache>
            </c:numRef>
          </c:val>
        </c:ser>
        <c:dLbls>
          <c:showPercent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56152902398828064"/>
          <c:y val="0.37950576932600516"/>
          <c:w val="0.33769578221327051"/>
          <c:h val="0.36837815084435316"/>
        </c:manualLayout>
      </c:layout>
      <c:txPr>
        <a:bodyPr/>
        <a:lstStyle/>
        <a:p>
          <a:pPr>
            <a:defRPr sz="800" b="1" baseline="0">
              <a:solidFill>
                <a:schemeClr val="bg1">
                  <a:lumMod val="50000"/>
                </a:schemeClr>
              </a:solidFill>
              <a:latin typeface="Noto Sans" pitchFamily="34" charset="0"/>
            </a:defRPr>
          </a:pPr>
          <a:endParaRPr lang="es-ES"/>
        </a:p>
      </c:txPr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autoTitleDeleted val="1"/>
    <c:plotArea>
      <c:layout>
        <c:manualLayout>
          <c:layoutTarget val="inner"/>
          <c:xMode val="edge"/>
          <c:yMode val="edge"/>
          <c:x val="0.50213636086186619"/>
          <c:y val="0"/>
          <c:w val="0.49786374529270916"/>
          <c:h val="1"/>
        </c:manualLayout>
      </c:layout>
      <c:barChart>
        <c:barDir val="bar"/>
        <c:grouping val="stacked"/>
        <c:ser>
          <c:idx val="0"/>
          <c:order val="0"/>
          <c:spPr>
            <a:solidFill>
              <a:srgbClr val="C30045"/>
            </a:solidFill>
            <a:ln>
              <a:solidFill>
                <a:prstClr val="black"/>
              </a:solidFill>
            </a:ln>
          </c:spPr>
          <c:dLbls>
            <c:spPr>
              <a:solidFill>
                <a:schemeClr val="bg1"/>
              </a:solidFill>
              <a:ln>
                <a:solidFill>
                  <a:sysClr val="windowText" lastClr="000000"/>
                </a:solidFill>
              </a:ln>
            </c:spPr>
            <c:txPr>
              <a:bodyPr/>
              <a:lstStyle/>
              <a:p>
                <a:pPr>
                  <a:defRPr baseline="0">
                    <a:solidFill>
                      <a:schemeClr val="bg1">
                        <a:lumMod val="50000"/>
                      </a:schemeClr>
                    </a:solidFill>
                  </a:defRPr>
                </a:pPr>
                <a:endParaRPr lang="es-ES"/>
              </a:p>
            </c:txPr>
            <c:showVal val="1"/>
          </c:dLbls>
          <c:cat>
            <c:strRef>
              <c:f>'Gàfics cat'!$A$63:$A$64</c:f>
              <c:strCache>
                <c:ptCount val="2"/>
                <c:pt idx="0">
                  <c:v>Resoltes</c:v>
                </c:pt>
                <c:pt idx="1">
                  <c:v>En tramitació</c:v>
                </c:pt>
              </c:strCache>
            </c:strRef>
          </c:cat>
          <c:val>
            <c:numRef>
              <c:f>'Gàfics cat'!$B$63:$B$64</c:f>
              <c:numCache>
                <c:formatCode>General</c:formatCode>
                <c:ptCount val="2"/>
                <c:pt idx="0">
                  <c:v>62</c:v>
                </c:pt>
                <c:pt idx="1">
                  <c:v>6</c:v>
                </c:pt>
              </c:numCache>
            </c:numRef>
          </c:val>
        </c:ser>
        <c:dLbls>
          <c:showVal val="1"/>
        </c:dLbls>
        <c:gapWidth val="95"/>
        <c:overlap val="100"/>
        <c:axId val="47019904"/>
        <c:axId val="47021440"/>
      </c:barChart>
      <c:catAx>
        <c:axId val="47019904"/>
        <c:scaling>
          <c:orientation val="minMax"/>
        </c:scaling>
        <c:axPos val="l"/>
        <c:majorTickMark val="none"/>
        <c:tickLblPos val="nextTo"/>
        <c:crossAx val="47021440"/>
        <c:crosses val="autoZero"/>
        <c:auto val="1"/>
        <c:lblAlgn val="ctr"/>
        <c:lblOffset val="100"/>
      </c:catAx>
      <c:valAx>
        <c:axId val="47021440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47019904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sz="800" b="1" baseline="0">
          <a:solidFill>
            <a:schemeClr val="bg1">
              <a:lumMod val="50000"/>
            </a:schemeClr>
          </a:solidFill>
          <a:latin typeface="Noto Sans" pitchFamily="34" charset="0"/>
        </a:defRPr>
      </a:pPr>
      <a:endParaRPr lang="es-E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style val="4"/>
  <c:chart>
    <c:plotArea>
      <c:layout>
        <c:manualLayout>
          <c:layoutTarget val="inner"/>
          <c:xMode val="edge"/>
          <c:yMode val="edge"/>
          <c:x val="0"/>
          <c:y val="0.14058314826031371"/>
          <c:w val="0.48610132615002072"/>
          <c:h val="0.47363718958207146"/>
        </c:manualLayout>
      </c:layout>
      <c:pieChart>
        <c:varyColors val="1"/>
        <c:ser>
          <c:idx val="0"/>
          <c:order val="0"/>
          <c:spPr>
            <a:ln>
              <a:solidFill>
                <a:sysClr val="windowText" lastClr="000000"/>
              </a:solidFill>
            </a:ln>
          </c:spPr>
          <c:explosion val="25"/>
          <c:dLbls>
            <c:spPr>
              <a:solidFill>
                <a:schemeClr val="bg1"/>
              </a:solidFill>
              <a:ln>
                <a:solidFill>
                  <a:sysClr val="windowText" lastClr="000000"/>
                </a:solidFill>
              </a:ln>
            </c:spPr>
            <c:txPr>
              <a:bodyPr/>
              <a:lstStyle/>
              <a:p>
                <a:pPr>
                  <a:defRPr sz="800" b="1" baseline="0">
                    <a:solidFill>
                      <a:schemeClr val="bg1">
                        <a:lumMod val="50000"/>
                      </a:schemeClr>
                    </a:solidFill>
                    <a:latin typeface="Noto Sans" pitchFamily="34" charset="0"/>
                  </a:defRPr>
                </a:pPr>
                <a:endParaRPr lang="es-ES"/>
              </a:p>
            </c:txPr>
            <c:showVal val="1"/>
            <c:showLeaderLines val="1"/>
          </c:dLbls>
          <c:cat>
            <c:strRef>
              <c:f>'Gráficos cat 20 04 2018 (2)'!$A$160:$A$166</c:f>
              <c:strCache>
                <c:ptCount val="7"/>
                <c:pt idx="0">
                  <c:v>Altres (6)  (remissió a qssi, altres  procediments, etc .)</c:v>
                </c:pt>
                <c:pt idx="1">
                  <c:v>Arxivades (1) (manca d'esmena)</c:v>
                </c:pt>
                <c:pt idx="2">
                  <c:v>Arxivades (1) (desistiment)</c:v>
                </c:pt>
                <c:pt idx="3">
                  <c:v>Remissió a l'òrgan competent (0)</c:v>
                </c:pt>
                <c:pt idx="4">
                  <c:v>No es disposa de la informació pública (2)</c:v>
                </c:pt>
                <c:pt idx="5">
                  <c:v>No es tracta d' informació pública d'acord amb l'art. 13 (1)</c:v>
                </c:pt>
                <c:pt idx="6">
                  <c:v>Disposició adicional primera (1)</c:v>
                </c:pt>
              </c:strCache>
            </c:strRef>
          </c:cat>
          <c:val>
            <c:numRef>
              <c:f>'Gráficos cat 20 04 2018 (2)'!$B$160:$B$166</c:f>
              <c:numCache>
                <c:formatCode>General</c:formatCode>
                <c:ptCount val="7"/>
                <c:pt idx="0">
                  <c:v>6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47684965584121264"/>
          <c:y val="0"/>
          <c:w val="0.51923606499488772"/>
          <c:h val="1"/>
        </c:manualLayout>
      </c:layout>
      <c:txPr>
        <a:bodyPr/>
        <a:lstStyle/>
        <a:p>
          <a:pPr>
            <a:defRPr sz="800" b="1" baseline="0">
              <a:solidFill>
                <a:schemeClr val="bg1">
                  <a:lumMod val="50000"/>
                </a:schemeClr>
              </a:solidFill>
              <a:latin typeface="Noto Sans" pitchFamily="34" charset="0"/>
              <a:ea typeface="Noto Sans" pitchFamily="34" charset="0"/>
              <a:cs typeface="Noto Sans" pitchFamily="34" charset="0"/>
            </a:defRPr>
          </a:pPr>
          <a:endParaRPr lang="es-ES"/>
        </a:p>
      </c:txPr>
    </c:legend>
    <c:plotVisOnly val="1"/>
    <c:dispBlanksAs val="zero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style val="4"/>
  <c:chart>
    <c:view3D>
      <c:rotX val="75"/>
      <c:perspective val="30"/>
    </c:view3D>
    <c:plotArea>
      <c:layout>
        <c:manualLayout>
          <c:layoutTarget val="inner"/>
          <c:xMode val="edge"/>
          <c:yMode val="edge"/>
          <c:x val="2.1388831972211649E-2"/>
          <c:y val="7.6903103161487477E-2"/>
          <c:w val="0.56162007630087363"/>
          <c:h val="0.75723998355627264"/>
        </c:manualLayout>
      </c:layout>
      <c:pie3DChart>
        <c:varyColors val="1"/>
        <c:ser>
          <c:idx val="0"/>
          <c:order val="0"/>
          <c:spPr>
            <a:ln>
              <a:noFill/>
            </a:ln>
          </c:spPr>
          <c:explosion val="25"/>
          <c:dLbls>
            <c:spPr>
              <a:solidFill>
                <a:sysClr val="window" lastClr="FFFFFF"/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sz="800" b="1" baseline="0">
                    <a:solidFill>
                      <a:schemeClr val="bg1">
                        <a:lumMod val="50000"/>
                      </a:schemeClr>
                    </a:solidFill>
                    <a:latin typeface="Noto Sans" pitchFamily="34" charset="0"/>
                  </a:defRPr>
                </a:pPr>
                <a:endParaRPr lang="es-ES"/>
              </a:p>
            </c:txPr>
            <c:showVal val="1"/>
            <c:showLeaderLines val="1"/>
          </c:dLbls>
          <c:cat>
            <c:strRef>
              <c:f>'Gàfics cat'!$A$75:$A$79</c:f>
              <c:strCache>
                <c:ptCount val="5"/>
                <c:pt idx="0">
                  <c:v>Estimades (42)</c:v>
                </c:pt>
                <c:pt idx="1">
                  <c:v>Estimades parcialment (6)</c:v>
                </c:pt>
                <c:pt idx="2">
                  <c:v>Desestimades (1)</c:v>
                </c:pt>
                <c:pt idx="3">
                  <c:v>Inadmissió (1)</c:v>
                </c:pt>
                <c:pt idx="4">
                  <c:v>Altres (12)</c:v>
                </c:pt>
              </c:strCache>
            </c:strRef>
          </c:cat>
          <c:val>
            <c:numRef>
              <c:f>'Gàfics cat'!$B$75:$B$79</c:f>
              <c:numCache>
                <c:formatCode>General</c:formatCode>
                <c:ptCount val="5"/>
                <c:pt idx="0">
                  <c:v>42</c:v>
                </c:pt>
                <c:pt idx="1">
                  <c:v>6</c:v>
                </c:pt>
                <c:pt idx="2">
                  <c:v>1</c:v>
                </c:pt>
                <c:pt idx="3">
                  <c:v>1</c:v>
                </c:pt>
                <c:pt idx="4">
                  <c:v>12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55184020916304388"/>
          <c:y val="0"/>
          <c:w val="0.4481597049439453"/>
          <c:h val="0.8362106826678829"/>
        </c:manualLayout>
      </c:layout>
      <c:txPr>
        <a:bodyPr/>
        <a:lstStyle/>
        <a:p>
          <a:pPr>
            <a:defRPr sz="800" b="1" baseline="0">
              <a:solidFill>
                <a:schemeClr val="bg1">
                  <a:lumMod val="50000"/>
                </a:schemeClr>
              </a:solidFill>
              <a:latin typeface="Noto Sans" pitchFamily="34" charset="0"/>
            </a:defRPr>
          </a:pPr>
          <a:endParaRPr lang="es-ES"/>
        </a:p>
      </c:txPr>
    </c:legend>
    <c:plotVisOnly val="1"/>
    <c:dispBlanksAs val="zero"/>
  </c:chart>
  <c:spPr>
    <a:noFill/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plotArea>
      <c:layout>
        <c:manualLayout>
          <c:layoutTarget val="inner"/>
          <c:xMode val="edge"/>
          <c:yMode val="edge"/>
          <c:x val="0.12978492529423222"/>
          <c:y val="0"/>
          <c:w val="0.87021507470576753"/>
          <c:h val="0.90209108476825017"/>
        </c:manualLayout>
      </c:layout>
      <c:doughnutChart>
        <c:varyColors val="1"/>
        <c:ser>
          <c:idx val="0"/>
          <c:order val="0"/>
          <c:spPr>
            <a:solidFill>
              <a:srgbClr val="BE069B"/>
            </a:solidFill>
            <a:ln>
              <a:solidFill>
                <a:sysClr val="windowText" lastClr="000000"/>
              </a:solidFill>
            </a:ln>
          </c:spPr>
          <c:dPt>
            <c:idx val="0"/>
            <c:spPr>
              <a:solidFill>
                <a:srgbClr val="C30045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"/>
            <c:spPr>
              <a:solidFill>
                <a:schemeClr val="bg1">
                  <a:lumMod val="50000"/>
                </a:schemeClr>
              </a:solidFill>
              <a:ln>
                <a:solidFill>
                  <a:sysClr val="windowText" lastClr="000000"/>
                </a:solidFill>
              </a:ln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pPr>
                      <a:defRPr sz="800" b="1" baseline="0">
                        <a:solidFill>
                          <a:schemeClr val="bg1">
                            <a:lumMod val="50000"/>
                          </a:schemeClr>
                        </a:solidFill>
                        <a:latin typeface="Noto Sans" pitchFamily="34" charset="0"/>
                      </a:defRPr>
                    </a:pPr>
                    <a:r>
                      <a:rPr lang="es-ES" sz="800" b="1" baseline="0">
                        <a:solidFill>
                          <a:schemeClr val="bg1">
                            <a:lumMod val="50000"/>
                          </a:schemeClr>
                        </a:solidFill>
                        <a:latin typeface="Noto Sans" pitchFamily="34" charset="0"/>
                      </a:rPr>
                      <a:t>D</a:t>
                    </a:r>
                    <a:r>
                      <a:rPr lang="es-ES" sz="900" b="1" baseline="0">
                        <a:solidFill>
                          <a:schemeClr val="bg1">
                            <a:lumMod val="50000"/>
                          </a:schemeClr>
                        </a:solidFill>
                      </a:rPr>
                      <a:t>ins termini
32</a:t>
                    </a:r>
                  </a:p>
                </c:rich>
              </c:tx>
              <c:spPr>
                <a:solidFill>
                  <a:schemeClr val="bg1"/>
                </a:solidFill>
                <a:ln>
                  <a:solidFill>
                    <a:sysClr val="windowText" lastClr="000000"/>
                  </a:solidFill>
                </a:ln>
              </c:spPr>
            </c:dLbl>
            <c:dLbl>
              <c:idx val="1"/>
              <c:layout>
                <c:manualLayout>
                  <c:x val="-9.9875156054931528E-3"/>
                  <c:y val="-7.9365079365079014E-3"/>
                </c:manualLayout>
              </c:layout>
              <c:tx>
                <c:rich>
                  <a:bodyPr/>
                  <a:lstStyle/>
                  <a:p>
                    <a:pPr>
                      <a:defRPr sz="800" b="1" baseline="0">
                        <a:solidFill>
                          <a:schemeClr val="bg1">
                            <a:lumMod val="50000"/>
                          </a:schemeClr>
                        </a:solidFill>
                        <a:latin typeface="Noto Sans" pitchFamily="34" charset="0"/>
                      </a:defRPr>
                    </a:pPr>
                    <a:r>
                      <a:rPr lang="es-ES" sz="800" b="1" baseline="0">
                        <a:solidFill>
                          <a:schemeClr val="bg1">
                            <a:lumMod val="50000"/>
                          </a:schemeClr>
                        </a:solidFill>
                        <a:latin typeface="Noto Sans" pitchFamily="34" charset="0"/>
                      </a:rPr>
                      <a:t>F</a:t>
                    </a:r>
                    <a:r>
                      <a:rPr lang="es-ES" sz="900" b="1" baseline="0">
                        <a:solidFill>
                          <a:schemeClr val="bg1">
                            <a:lumMod val="50000"/>
                          </a:schemeClr>
                        </a:solidFill>
                      </a:rPr>
                      <a:t>ora termini
30</a:t>
                    </a:r>
                  </a:p>
                </c:rich>
              </c:tx>
              <c:spPr>
                <a:solidFill>
                  <a:schemeClr val="bg1"/>
                </a:solidFill>
                <a:ln>
                  <a:solidFill>
                    <a:sysClr val="windowText" lastClr="000000"/>
                  </a:solidFill>
                </a:ln>
              </c:spPr>
            </c:dLbl>
            <c:spPr>
              <a:solidFill>
                <a:schemeClr val="bg1">
                  <a:lumMod val="95000"/>
                </a:schemeClr>
              </a:solidFill>
              <a:ln>
                <a:solidFill>
                  <a:sysClr val="windowText" lastClr="000000"/>
                </a:solidFill>
              </a:ln>
            </c:spPr>
            <c:txPr>
              <a:bodyPr/>
              <a:lstStyle/>
              <a:p>
                <a:pPr>
                  <a:defRPr sz="800" baseline="0">
                    <a:latin typeface="Noto Sans" pitchFamily="34" charset="0"/>
                  </a:defRPr>
                </a:pPr>
                <a:endParaRPr lang="es-ES"/>
              </a:p>
            </c:txPr>
            <c:showPercent val="1"/>
          </c:dLbls>
          <c:cat>
            <c:strRef>
              <c:f>'Gàfics cat'!$A$50:$A$51</c:f>
              <c:strCache>
                <c:ptCount val="2"/>
                <c:pt idx="0">
                  <c:v>Dins termini</c:v>
                </c:pt>
                <c:pt idx="1">
                  <c:v>Fora termini</c:v>
                </c:pt>
              </c:strCache>
            </c:strRef>
          </c:cat>
          <c:val>
            <c:numRef>
              <c:f>'Gàfics cat'!$B$50:$B$51</c:f>
              <c:numCache>
                <c:formatCode>General</c:formatCode>
                <c:ptCount val="2"/>
                <c:pt idx="0">
                  <c:v>32</c:v>
                </c:pt>
                <c:pt idx="1">
                  <c:v>30</c:v>
                </c:pt>
              </c:numCache>
            </c:numRef>
          </c:val>
        </c:ser>
        <c:dLbls>
          <c:showPercent val="1"/>
        </c:dLbls>
        <c:firstSliceAng val="0"/>
        <c:holeSize val="50"/>
      </c:doughnutChart>
      <c:spPr>
        <a:noFill/>
        <a:ln w="25400">
          <a:noFill/>
        </a:ln>
      </c:spPr>
    </c:plotArea>
    <c:plotVisOnly val="1"/>
    <c:dispBlanksAs val="zero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autoTitleDeleted val="1"/>
    <c:plotArea>
      <c:layout>
        <c:manualLayout>
          <c:layoutTarget val="inner"/>
          <c:xMode val="edge"/>
          <c:yMode val="edge"/>
          <c:x val="1.2753434975954818E-2"/>
          <c:y val="0"/>
          <c:w val="0.82535668284149211"/>
          <c:h val="1"/>
        </c:manualLayout>
      </c:layout>
      <c:pieChart>
        <c:varyColors val="1"/>
        <c:ser>
          <c:idx val="0"/>
          <c:order val="0"/>
          <c:spPr>
            <a:solidFill>
              <a:schemeClr val="bg1">
                <a:lumMod val="50000"/>
              </a:schemeClr>
            </a:solidFill>
            <a:ln>
              <a:solidFill>
                <a:schemeClr val="tx1"/>
              </a:solidFill>
            </a:ln>
          </c:spPr>
          <c:dPt>
            <c:idx val="1"/>
            <c:spPr>
              <a:solidFill>
                <a:srgbClr val="C30045"/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spPr>
                <a:solidFill>
                  <a:sysClr val="window" lastClr="FFFFFF"/>
                </a:solidFill>
                <a:ln>
                  <a:solidFill>
                    <a:prstClr val="black"/>
                  </a:solidFill>
                </a:ln>
              </c:spPr>
              <c:txPr>
                <a:bodyPr/>
                <a:lstStyle/>
                <a:p>
                  <a:pPr>
                    <a:defRPr sz="800" b="1" baseline="0">
                      <a:solidFill>
                        <a:schemeClr val="bg1">
                          <a:lumMod val="50000"/>
                        </a:schemeClr>
                      </a:solidFill>
                      <a:latin typeface="Noto Sans" pitchFamily="34" charset="0"/>
                    </a:defRPr>
                  </a:pPr>
                  <a:endParaRPr lang="es-ES"/>
                </a:p>
              </c:txPr>
            </c:dLbl>
            <c:dLbl>
              <c:idx val="1"/>
              <c:layout>
                <c:manualLayout>
                  <c:x val="0.14834359148040865"/>
                  <c:y val="-0.10175393464390074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prstClr val="black"/>
                  </a:solidFill>
                </a:ln>
              </c:spPr>
              <c:txPr>
                <a:bodyPr/>
                <a:lstStyle/>
                <a:p>
                  <a:pPr>
                    <a:defRPr sz="800" b="1" baseline="0">
                      <a:solidFill>
                        <a:schemeClr val="bg1">
                          <a:lumMod val="50000"/>
                        </a:schemeClr>
                      </a:solidFill>
                      <a:latin typeface="Noto Sans" pitchFamily="34" charset="0"/>
                    </a:defRPr>
                  </a:pPr>
                  <a:endParaRPr lang="es-ES"/>
                </a:p>
              </c:txPr>
              <c:showCatName val="1"/>
              <c:showPercent val="1"/>
            </c:dLbl>
            <c:spPr>
              <a:solidFill>
                <a:sysClr val="window" lastClr="FFFFFF"/>
              </a:solidFill>
              <a:ln>
                <a:solidFill>
                  <a:prstClr val="black"/>
                </a:solidFill>
              </a:ln>
            </c:spPr>
            <c:txPr>
              <a:bodyPr/>
              <a:lstStyle/>
              <a:p>
                <a:pPr>
                  <a:defRPr sz="800" b="1" baseline="0">
                    <a:solidFill>
                      <a:schemeClr val="bg1">
                        <a:lumMod val="50000"/>
                      </a:schemeClr>
                    </a:solidFill>
                  </a:defRPr>
                </a:pPr>
                <a:endParaRPr lang="es-ES"/>
              </a:p>
            </c:txPr>
            <c:showCatName val="1"/>
            <c:showPercent val="1"/>
            <c:showLeaderLines val="1"/>
          </c:dLbls>
          <c:cat>
            <c:strRef>
              <c:f>'Gàfics cat'!$A$28:$A$29</c:f>
              <c:strCache>
                <c:ptCount val="2"/>
                <c:pt idx="0">
                  <c:v>Català</c:v>
                </c:pt>
                <c:pt idx="1">
                  <c:v>Castellà</c:v>
                </c:pt>
              </c:strCache>
            </c:strRef>
          </c:cat>
          <c:val>
            <c:numRef>
              <c:f>'Gàfics cat'!$B$28:$B$29</c:f>
              <c:numCache>
                <c:formatCode>General</c:formatCode>
                <c:ptCount val="2"/>
                <c:pt idx="0">
                  <c:v>23</c:v>
                </c:pt>
                <c:pt idx="1">
                  <c:v>41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spPr>
    <a:noFill/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style val="4"/>
  <c:chart>
    <c:autoTitleDeleted val="1"/>
    <c:plotArea>
      <c:layout>
        <c:manualLayout>
          <c:layoutTarget val="inner"/>
          <c:xMode val="edge"/>
          <c:yMode val="edge"/>
          <c:x val="0"/>
          <c:y val="0.19831979826051155"/>
          <c:w val="0.60612708402646853"/>
          <c:h val="0.6291668515336365"/>
        </c:manualLayout>
      </c:layout>
      <c:pieChart>
        <c:varyColors val="1"/>
        <c:ser>
          <c:idx val="0"/>
          <c:order val="0"/>
          <c:spPr>
            <a:ln>
              <a:solidFill>
                <a:schemeClr val="accent1"/>
              </a:solidFill>
            </a:ln>
          </c:spPr>
          <c:dPt>
            <c:idx val="1"/>
            <c:spPr>
              <a:ln>
                <a:solidFill>
                  <a:schemeClr val="tx1"/>
                </a:solidFill>
              </a:ln>
            </c:spPr>
          </c:dPt>
          <c:dPt>
            <c:idx val="2"/>
            <c:spPr>
              <a:ln>
                <a:solidFill>
                  <a:schemeClr val="tx1"/>
                </a:solidFill>
              </a:ln>
            </c:spPr>
          </c:dPt>
          <c:dPt>
            <c:idx val="3"/>
            <c:spPr>
              <a:ln>
                <a:solidFill>
                  <a:schemeClr val="tx1"/>
                </a:solidFill>
              </a:ln>
            </c:spPr>
          </c:dPt>
          <c:dPt>
            <c:idx val="4"/>
            <c:spPr>
              <a:ln>
                <a:solidFill>
                  <a:schemeClr val="tx1"/>
                </a:solidFill>
              </a:ln>
            </c:spPr>
          </c:dPt>
          <c:dLbls>
            <c:spPr>
              <a:solidFill>
                <a:sysClr val="window" lastClr="FFFFFF"/>
              </a:solidFill>
              <a:ln>
                <a:solidFill>
                  <a:prstClr val="black"/>
                </a:solidFill>
              </a:ln>
            </c:spPr>
            <c:txPr>
              <a:bodyPr/>
              <a:lstStyle/>
              <a:p>
                <a:pPr>
                  <a:defRPr sz="800" b="1" baseline="0">
                    <a:solidFill>
                      <a:schemeClr val="bg1">
                        <a:lumMod val="50000"/>
                      </a:schemeClr>
                    </a:solidFill>
                    <a:latin typeface="Noto Sans" pitchFamily="34" charset="0"/>
                  </a:defRPr>
                </a:pPr>
                <a:endParaRPr lang="es-ES"/>
              </a:p>
            </c:txPr>
            <c:showPercent val="1"/>
            <c:showLeaderLines val="1"/>
          </c:dLbls>
          <c:cat>
            <c:strRef>
              <c:f>'Gàfics cat'!$E$231:$E$235</c:f>
              <c:strCache>
                <c:ptCount val="5"/>
                <c:pt idx="0">
                  <c:v>20-30 anys</c:v>
                </c:pt>
                <c:pt idx="1">
                  <c:v>30-40 anys</c:v>
                </c:pt>
                <c:pt idx="2">
                  <c:v>40-50 anys</c:v>
                </c:pt>
                <c:pt idx="3">
                  <c:v>50-60 anys</c:v>
                </c:pt>
                <c:pt idx="4">
                  <c:v>60-70 anys</c:v>
                </c:pt>
              </c:strCache>
            </c:strRef>
          </c:cat>
          <c:val>
            <c:numRef>
              <c:f>'Gàfics cat'!$F$231:$F$235</c:f>
              <c:numCache>
                <c:formatCode>General</c:formatCode>
                <c:ptCount val="5"/>
                <c:pt idx="0">
                  <c:v>0</c:v>
                </c:pt>
                <c:pt idx="1">
                  <c:v>12</c:v>
                </c:pt>
                <c:pt idx="2">
                  <c:v>11</c:v>
                </c:pt>
                <c:pt idx="3">
                  <c:v>8</c:v>
                </c:pt>
                <c:pt idx="4">
                  <c:v>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60175678040244951"/>
          <c:y val="0.31287649854579064"/>
          <c:w val="0.33494002138621626"/>
          <c:h val="0.46720971643250475"/>
        </c:manualLayout>
      </c:layout>
      <c:txPr>
        <a:bodyPr/>
        <a:lstStyle/>
        <a:p>
          <a:pPr>
            <a:defRPr sz="800" b="1" baseline="0">
              <a:solidFill>
                <a:schemeClr val="bg1">
                  <a:lumMod val="50000"/>
                </a:schemeClr>
              </a:solidFill>
              <a:latin typeface="Noto Sans" pitchFamily="34" charset="0"/>
            </a:defRPr>
          </a:pPr>
          <a:endParaRPr lang="es-ES"/>
        </a:p>
      </c:txPr>
    </c:legend>
    <c:plotVisOnly val="1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style val="4"/>
  <c:chart>
    <c:autoTitleDeleted val="1"/>
    <c:plotArea>
      <c:layout>
        <c:manualLayout>
          <c:layoutTarget val="inner"/>
          <c:xMode val="edge"/>
          <c:yMode val="edge"/>
          <c:x val="4.1354681965869514E-2"/>
          <c:y val="0.26165186798458762"/>
          <c:w val="0.55990945369747203"/>
          <c:h val="0.57268305340159631"/>
        </c:manualLayout>
      </c:layout>
      <c:pieChart>
        <c:varyColors val="1"/>
        <c:ser>
          <c:idx val="0"/>
          <c:order val="0"/>
          <c:spPr>
            <a:ln>
              <a:solidFill>
                <a:prstClr val="black"/>
              </a:solidFill>
            </a:ln>
          </c:spPr>
          <c:dLbls>
            <c:spPr>
              <a:solidFill>
                <a:sysClr val="window" lastClr="FFFFFF"/>
              </a:solidFill>
              <a:ln>
                <a:solidFill>
                  <a:prstClr val="black"/>
                </a:solidFill>
              </a:ln>
            </c:spPr>
            <c:txPr>
              <a:bodyPr/>
              <a:lstStyle/>
              <a:p>
                <a:pPr>
                  <a:defRPr b="1">
                    <a:solidFill>
                      <a:schemeClr val="bg1">
                        <a:lumMod val="50000"/>
                      </a:schemeClr>
                    </a:solidFill>
                  </a:defRPr>
                </a:pPr>
                <a:endParaRPr lang="es-ES"/>
              </a:p>
            </c:txPr>
            <c:showPercent val="1"/>
            <c:showLeaderLines val="1"/>
          </c:dLbls>
          <c:cat>
            <c:strRef>
              <c:f>'Gàfics cat'!$E$240:$E$244</c:f>
              <c:strCache>
                <c:ptCount val="5"/>
                <c:pt idx="0">
                  <c:v>20-30 anys</c:v>
                </c:pt>
                <c:pt idx="1">
                  <c:v>30-40 anys</c:v>
                </c:pt>
                <c:pt idx="2">
                  <c:v>40-50 anys</c:v>
                </c:pt>
                <c:pt idx="3">
                  <c:v>50-60 anys</c:v>
                </c:pt>
                <c:pt idx="4">
                  <c:v>60-70 anys</c:v>
                </c:pt>
              </c:strCache>
            </c:strRef>
          </c:cat>
          <c:val>
            <c:numRef>
              <c:f>'Gàfics cat'!$F$240:$F$244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2</c:v>
                </c:pt>
                <c:pt idx="3">
                  <c:v>7</c:v>
                </c:pt>
                <c:pt idx="4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61202995110561065"/>
          <c:y val="0.31287649854579064"/>
          <c:w val="0.30111218112124577"/>
          <c:h val="0.46664443971530578"/>
        </c:manualLayout>
      </c:layout>
      <c:txPr>
        <a:bodyPr/>
        <a:lstStyle/>
        <a:p>
          <a:pPr>
            <a:defRPr sz="800" b="1" baseline="0">
              <a:solidFill>
                <a:schemeClr val="bg1">
                  <a:lumMod val="50000"/>
                </a:schemeClr>
              </a:solidFill>
              <a:latin typeface="Noto Sans" pitchFamily="34" charset="0"/>
            </a:defRPr>
          </a:pPr>
          <a:endParaRPr lang="es-ES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6212C-8D54-45EB-9838-AD24A8A81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DGTBG_sense_dades_(p1_6,5)</Template>
  <TotalTime>19</TotalTime>
  <Pages>8</Pages>
  <Words>577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3749</CharactersWithSpaces>
  <SharedDoc>false</SharedDoc>
  <HLinks>
    <vt:vector size="12" baseType="variant">
      <vt:variant>
        <vt:i4>3801111</vt:i4>
      </vt:variant>
      <vt:variant>
        <vt:i4>6</vt:i4>
      </vt:variant>
      <vt:variant>
        <vt:i4>0</vt:i4>
      </vt:variant>
      <vt:variant>
        <vt:i4>5</vt:i4>
      </vt:variant>
      <vt:variant>
        <vt:lpwstr>mailto:comunicacio@caib.es</vt:lpwstr>
      </vt:variant>
      <vt:variant>
        <vt:lpwstr/>
      </vt:variant>
      <vt:variant>
        <vt:i4>3801111</vt:i4>
      </vt:variant>
      <vt:variant>
        <vt:i4>0</vt:i4>
      </vt:variant>
      <vt:variant>
        <vt:i4>0</vt:i4>
      </vt:variant>
      <vt:variant>
        <vt:i4>5</vt:i4>
      </vt:variant>
      <vt:variant>
        <vt:lpwstr>mailto:comunicacio@caib.es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u81399</dc:creator>
  <cp:lastModifiedBy>margarita amengual siquier</cp:lastModifiedBy>
  <cp:revision>4</cp:revision>
  <dcterms:created xsi:type="dcterms:W3CDTF">2018-04-20T05:41:00Z</dcterms:created>
  <dcterms:modified xsi:type="dcterms:W3CDTF">2018-04-20T07:20:00Z</dcterms:modified>
</cp:coreProperties>
</file>